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B3" w:rsidRDefault="00C471B3" w:rsidP="00C471B3">
      <w:r>
        <w:rPr>
          <w:rFonts w:hint="eastAsia"/>
        </w:rPr>
        <w:t>附件：</w:t>
      </w:r>
    </w:p>
    <w:p w:rsidR="00C471B3" w:rsidRDefault="00C471B3" w:rsidP="00C471B3">
      <w:pPr>
        <w:adjustRightInd w:val="0"/>
        <w:spacing w:line="400" w:lineRule="exact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Q开关YAG激光治疗</w:t>
      </w:r>
      <w:proofErr w:type="gramStart"/>
      <w:r>
        <w:rPr>
          <w:rFonts w:ascii="仿宋_GB2312" w:eastAsia="仿宋_GB2312" w:hint="eastAsia"/>
          <w:b/>
          <w:sz w:val="28"/>
        </w:rPr>
        <w:t>仪技术</w:t>
      </w:r>
      <w:proofErr w:type="gramEnd"/>
      <w:r>
        <w:rPr>
          <w:rFonts w:ascii="仿宋_GB2312" w:eastAsia="仿宋_GB2312" w:hint="eastAsia"/>
          <w:b/>
          <w:sz w:val="28"/>
        </w:rPr>
        <w:t>参数</w:t>
      </w:r>
    </w:p>
    <w:p w:rsidR="00C471B3" w:rsidRDefault="00C471B3" w:rsidP="00C471B3">
      <w:pPr>
        <w:adjustRightInd w:val="0"/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2356"/>
        <w:gridCol w:w="1188"/>
        <w:gridCol w:w="4470"/>
      </w:tblGrid>
      <w:tr w:rsidR="00C471B3" w:rsidTr="00D17806">
        <w:trPr>
          <w:trHeight w:val="450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指  标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性 能 参 数 </w:t>
            </w:r>
          </w:p>
        </w:tc>
      </w:tr>
      <w:tr w:rsidR="00C471B3" w:rsidTr="00D17806">
        <w:trPr>
          <w:trHeight w:val="413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激光波长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1064nm/532nm</w:t>
            </w:r>
          </w:p>
        </w:tc>
      </w:tr>
      <w:tr w:rsidR="00C471B3" w:rsidTr="00D17806">
        <w:trPr>
          <w:trHeight w:val="479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激光介质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Nd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：YAG</w:t>
            </w:r>
          </w:p>
        </w:tc>
      </w:tr>
      <w:tr w:rsidR="00C471B3" w:rsidTr="00D17806">
        <w:trPr>
          <w:trHeight w:val="403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开关方式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电光调Q开关方式</w:t>
            </w:r>
          </w:p>
        </w:tc>
      </w:tr>
      <w:tr w:rsidR="00C471B3" w:rsidTr="00D17806">
        <w:trPr>
          <w:trHeight w:val="49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光路配置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双光路配置  （二个波长各自独立成系统）</w:t>
            </w:r>
          </w:p>
        </w:tc>
      </w:tr>
      <w:tr w:rsidR="00C471B3" w:rsidTr="00D17806">
        <w:trPr>
          <w:trHeight w:val="421"/>
          <w:jc w:val="center"/>
        </w:trPr>
        <w:tc>
          <w:tcPr>
            <w:tcW w:w="842" w:type="dxa"/>
            <w:vMerge w:val="restart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356" w:type="dxa"/>
            <w:vMerge w:val="restart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最大能量</w:t>
            </w:r>
          </w:p>
        </w:tc>
        <w:tc>
          <w:tcPr>
            <w:tcW w:w="1188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1064nm</w:t>
            </w:r>
          </w:p>
        </w:tc>
        <w:tc>
          <w:tcPr>
            <w:tcW w:w="4470" w:type="dxa"/>
            <w:vAlign w:val="center"/>
          </w:tcPr>
          <w:p w:rsidR="00C471B3" w:rsidRDefault="00C471B3" w:rsidP="00D17806">
            <w:pPr>
              <w:ind w:firstLineChars="49" w:firstLine="118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单脉冲输出:1000mJ </w:t>
            </w:r>
            <w:r>
              <w:rPr>
                <w:rFonts w:ascii="宋体" w:hAnsi="宋体" w:cs="Arial Unicode MS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10%</w:t>
            </w:r>
          </w:p>
        </w:tc>
      </w:tr>
      <w:tr w:rsidR="00C471B3" w:rsidTr="00D17806">
        <w:trPr>
          <w:trHeight w:val="486"/>
          <w:jc w:val="center"/>
        </w:trPr>
        <w:tc>
          <w:tcPr>
            <w:tcW w:w="842" w:type="dxa"/>
            <w:vMerge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532nm</w:t>
            </w:r>
          </w:p>
        </w:tc>
        <w:tc>
          <w:tcPr>
            <w:tcW w:w="4470" w:type="dxa"/>
            <w:vAlign w:val="center"/>
          </w:tcPr>
          <w:p w:rsidR="00C471B3" w:rsidRDefault="00C471B3" w:rsidP="00D17806">
            <w:pPr>
              <w:ind w:firstLineChars="49" w:firstLine="11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单脉冲输出:500mJ </w:t>
            </w:r>
            <w:r>
              <w:rPr>
                <w:rFonts w:ascii="宋体" w:hAnsi="宋体" w:cs="Arial Unicode MS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10%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光斑直径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Φ1mm-Φ8mm，且连续可调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Merge w:val="restart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356" w:type="dxa"/>
            <w:vMerge w:val="restart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重复频率</w:t>
            </w:r>
          </w:p>
        </w:tc>
        <w:tc>
          <w:tcPr>
            <w:tcW w:w="1188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1064nm</w:t>
            </w:r>
          </w:p>
        </w:tc>
        <w:tc>
          <w:tcPr>
            <w:tcW w:w="4470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  <w:vertAlign w:val="superscript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1-10Hz，且连续可变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Merge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532nm</w:t>
            </w:r>
          </w:p>
        </w:tc>
        <w:tc>
          <w:tcPr>
            <w:tcW w:w="4470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1-10Hz，且连续可变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调Q脉宽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7ns</w:t>
            </w:r>
            <w:r>
              <w:rPr>
                <w:rFonts w:ascii="宋体" w:hAnsi="宋体" w:cs="Arial Unicode MS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20%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瞄准光束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650nm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能量不稳定度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±5% 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导光方式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七关节导光臂（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含固定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导入节）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能量复现性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±5%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激光发散半角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≤3.5mrad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激光模式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平顶帽（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光斑均化技术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控制方式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触摸屏控制。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保护系统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断水、过载双重保护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冷却系统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内置封闭式循环水冷却、风冷两种冷却方式相结合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治疗范围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1064nm激光用于蓝黑色皮肤色素性病变的治疗；532nm激光用于红褐色皮肤色素性病变的治疗。</w:t>
            </w:r>
          </w:p>
        </w:tc>
      </w:tr>
      <w:tr w:rsidR="00C471B3" w:rsidTr="00D17806">
        <w:trPr>
          <w:trHeight w:val="567"/>
          <w:jc w:val="center"/>
        </w:trPr>
        <w:tc>
          <w:tcPr>
            <w:tcW w:w="842" w:type="dxa"/>
            <w:vAlign w:val="center"/>
          </w:tcPr>
          <w:p w:rsidR="00C471B3" w:rsidRDefault="00C471B3" w:rsidP="00D1780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356" w:type="dxa"/>
            <w:vAlign w:val="center"/>
          </w:tcPr>
          <w:p w:rsidR="00C471B3" w:rsidRDefault="00C471B3" w:rsidP="00D178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质保三年</w:t>
            </w:r>
          </w:p>
        </w:tc>
        <w:tc>
          <w:tcPr>
            <w:tcW w:w="5658" w:type="dxa"/>
            <w:gridSpan w:val="2"/>
            <w:vAlign w:val="center"/>
          </w:tcPr>
          <w:p w:rsidR="00C471B3" w:rsidRDefault="00C471B3" w:rsidP="00D17806">
            <w:pPr>
              <w:ind w:firstLineChars="350" w:firstLine="8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合同签订后30日内到货安装</w:t>
            </w:r>
          </w:p>
        </w:tc>
      </w:tr>
    </w:tbl>
    <w:p w:rsidR="00C471B3" w:rsidRDefault="00C471B3" w:rsidP="00C471B3"/>
    <w:p w:rsidR="00E7256B" w:rsidRPr="00C471B3" w:rsidRDefault="00E7256B">
      <w:bookmarkStart w:id="0" w:name="_GoBack"/>
      <w:bookmarkEnd w:id="0"/>
    </w:p>
    <w:sectPr w:rsidR="00E7256B" w:rsidRPr="00C4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BC" w:rsidRDefault="008652BC" w:rsidP="00C471B3">
      <w:r>
        <w:separator/>
      </w:r>
    </w:p>
  </w:endnote>
  <w:endnote w:type="continuationSeparator" w:id="0">
    <w:p w:rsidR="008652BC" w:rsidRDefault="008652BC" w:rsidP="00C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BC" w:rsidRDefault="008652BC" w:rsidP="00C471B3">
      <w:r>
        <w:separator/>
      </w:r>
    </w:p>
  </w:footnote>
  <w:footnote w:type="continuationSeparator" w:id="0">
    <w:p w:rsidR="008652BC" w:rsidRDefault="008652BC" w:rsidP="00C4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51"/>
    <w:rsid w:val="00105651"/>
    <w:rsid w:val="008652BC"/>
    <w:rsid w:val="00C471B3"/>
    <w:rsid w:val="00E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1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2023-08-31T01:15:00Z</dcterms:created>
  <dcterms:modified xsi:type="dcterms:W3CDTF">2023-08-31T01:16:00Z</dcterms:modified>
</cp:coreProperties>
</file>