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97" w:rsidRDefault="005A5E97" w:rsidP="005A5E97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32"/>
          <w:szCs w:val="32"/>
        </w:rPr>
      </w:pPr>
      <w:r w:rsidRPr="001F4A42">
        <w:rPr>
          <w:rStyle w:val="NormalCharacter"/>
          <w:rFonts w:ascii="新宋体" w:eastAsia="新宋体" w:hAnsi="新宋体" w:cs="新宋体" w:hint="eastAsia"/>
          <w:b/>
          <w:sz w:val="32"/>
          <w:szCs w:val="32"/>
        </w:rPr>
        <w:t>附件1：</w:t>
      </w:r>
    </w:p>
    <w:p w:rsidR="005A5E97" w:rsidRDefault="005A5E97" w:rsidP="005A5E9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22"/>
        <w:jc w:val="center"/>
        <w:rPr>
          <w:b/>
        </w:rPr>
      </w:pPr>
      <w:r w:rsidRPr="00C512F9">
        <w:rPr>
          <w:rFonts w:hint="eastAsia"/>
          <w:b/>
        </w:rPr>
        <w:t>耳鸣诊疗</w:t>
      </w:r>
      <w:proofErr w:type="gramStart"/>
      <w:r w:rsidRPr="00C512F9">
        <w:rPr>
          <w:rFonts w:hint="eastAsia"/>
          <w:b/>
        </w:rPr>
        <w:t>仪</w:t>
      </w:r>
      <w:r>
        <w:rPr>
          <w:rFonts w:hint="eastAsia"/>
          <w:b/>
        </w:rPr>
        <w:t>技术</w:t>
      </w:r>
      <w:proofErr w:type="gramEnd"/>
      <w:r>
        <w:rPr>
          <w:rFonts w:hint="eastAsia"/>
          <w:b/>
        </w:rPr>
        <w:t>参数</w:t>
      </w:r>
    </w:p>
    <w:p w:rsidR="005A5E97" w:rsidRPr="00C512F9" w:rsidRDefault="005A5E97" w:rsidP="005A5E97">
      <w:pPr>
        <w:adjustRightInd w:val="0"/>
        <w:snapToGrid w:val="0"/>
        <w:spacing w:line="440" w:lineRule="exact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 w:hint="eastAsia"/>
          <w:sz w:val="22"/>
        </w:rPr>
        <w:t>一、主要功能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 w:hint="eastAsia"/>
          <w:sz w:val="22"/>
        </w:rPr>
        <w:t>1.用于耳鸣的诊断、治疗、康复、评估，以及患者临床数据分析跟踪管理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2</w:t>
      </w:r>
      <w:r w:rsidRPr="00C512F9">
        <w:rPr>
          <w:rFonts w:ascii="宋体" w:eastAsia="宋体" w:hAnsi="宋体" w:hint="eastAsia"/>
          <w:sz w:val="22"/>
        </w:rPr>
        <w:t>“二合一”模式显示耳鸣评估记录，可柱状图和折线图对比THI、TEQ等级和得分、自动评级和多维</w:t>
      </w:r>
      <w:proofErr w:type="gramStart"/>
      <w:r w:rsidRPr="00C512F9">
        <w:rPr>
          <w:rFonts w:ascii="宋体" w:eastAsia="宋体" w:hAnsi="宋体" w:hint="eastAsia"/>
          <w:sz w:val="22"/>
        </w:rPr>
        <w:t>度饼图分析</w:t>
      </w:r>
      <w:proofErr w:type="gramEnd"/>
      <w:r w:rsidRPr="00C512F9">
        <w:rPr>
          <w:rFonts w:ascii="宋体" w:eastAsia="宋体" w:hAnsi="宋体" w:hint="eastAsia"/>
          <w:sz w:val="22"/>
        </w:rPr>
        <w:t>功能的THI耳鸣残疾度评估量化表、TEQ耳鸣评价量表。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3</w:t>
      </w:r>
      <w:r w:rsidRPr="00C512F9">
        <w:rPr>
          <w:rFonts w:ascii="宋体" w:eastAsia="宋体" w:hAnsi="宋体" w:hint="eastAsia"/>
          <w:sz w:val="22"/>
        </w:rPr>
        <w:t>.耳鸣国际研究机构TRI问诊流程和分析，并能自动生成问诊流程进行图，供临床诊断和识别耳鸣病因。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4</w:t>
      </w:r>
      <w:r w:rsidRPr="00C512F9">
        <w:rPr>
          <w:rFonts w:ascii="宋体" w:eastAsia="宋体" w:hAnsi="宋体" w:hint="eastAsia"/>
          <w:sz w:val="22"/>
        </w:rPr>
        <w:t>.耳鸣主调匹配、精细化MML最小掩蔽级、</w:t>
      </w:r>
      <w:proofErr w:type="spellStart"/>
      <w:r w:rsidRPr="00C512F9">
        <w:rPr>
          <w:rFonts w:ascii="宋体" w:eastAsia="宋体" w:hAnsi="宋体" w:hint="eastAsia"/>
          <w:sz w:val="22"/>
        </w:rPr>
        <w:t>Feldmann</w:t>
      </w:r>
      <w:proofErr w:type="spellEnd"/>
      <w:r w:rsidRPr="00C512F9">
        <w:rPr>
          <w:rFonts w:ascii="宋体" w:eastAsia="宋体" w:hAnsi="宋体" w:hint="eastAsia"/>
          <w:sz w:val="22"/>
        </w:rPr>
        <w:t>曲线判定和残余抑制试验RI等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5</w:t>
      </w:r>
      <w:r w:rsidRPr="00C512F9">
        <w:rPr>
          <w:rFonts w:ascii="宋体" w:eastAsia="宋体" w:hAnsi="宋体" w:hint="eastAsia"/>
          <w:sz w:val="22"/>
        </w:rPr>
        <w:t>.耳鸣主要音调和次要音调双重匹配功能，可同</w:t>
      </w:r>
      <w:proofErr w:type="gramStart"/>
      <w:r w:rsidRPr="00C512F9">
        <w:rPr>
          <w:rFonts w:ascii="宋体" w:eastAsia="宋体" w:hAnsi="宋体" w:hint="eastAsia"/>
          <w:sz w:val="22"/>
        </w:rPr>
        <w:t>侧耳或</w:t>
      </w:r>
      <w:proofErr w:type="gramEnd"/>
      <w:r w:rsidRPr="00C512F9">
        <w:rPr>
          <w:rFonts w:ascii="宋体" w:eastAsia="宋体" w:hAnsi="宋体" w:hint="eastAsia"/>
          <w:sz w:val="22"/>
        </w:rPr>
        <w:t>对侧耳分别标识。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6</w:t>
      </w:r>
      <w:r w:rsidRPr="00C512F9">
        <w:rPr>
          <w:rFonts w:ascii="宋体" w:eastAsia="宋体" w:hAnsi="宋体" w:hint="eastAsia"/>
          <w:sz w:val="22"/>
        </w:rPr>
        <w:t>.仿真耳鸣匹配，不少于5个仿真耳鸣特效的匹配音。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7</w:t>
      </w:r>
      <w:r w:rsidRPr="00C512F9">
        <w:rPr>
          <w:rFonts w:ascii="宋体" w:eastAsia="宋体" w:hAnsi="宋体" w:hint="eastAsia"/>
          <w:sz w:val="22"/>
        </w:rPr>
        <w:t>.多重倍频程混淆测试，能够根据耳鸣测试频率精度，实时变换倍频程给声参数。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8</w:t>
      </w:r>
      <w:r w:rsidRPr="00C512F9">
        <w:rPr>
          <w:rFonts w:ascii="宋体" w:eastAsia="宋体" w:hAnsi="宋体" w:hint="eastAsia"/>
          <w:sz w:val="22"/>
        </w:rPr>
        <w:t>.提供多种耳鸣</w:t>
      </w:r>
      <w:proofErr w:type="gramStart"/>
      <w:r w:rsidRPr="00C512F9">
        <w:rPr>
          <w:rFonts w:ascii="宋体" w:eastAsia="宋体" w:hAnsi="宋体" w:hint="eastAsia"/>
          <w:sz w:val="22"/>
        </w:rPr>
        <w:t>声治疗</w:t>
      </w:r>
      <w:proofErr w:type="gramEnd"/>
      <w:r w:rsidRPr="00C512F9">
        <w:rPr>
          <w:rFonts w:ascii="宋体" w:eastAsia="宋体" w:hAnsi="宋体" w:hint="eastAsia"/>
          <w:sz w:val="22"/>
        </w:rPr>
        <w:t>策略，包括：Masking掩蔽法、TNMT调幅法、TRT习服法、</w:t>
      </w:r>
      <w:proofErr w:type="gramStart"/>
      <w:r w:rsidRPr="00C512F9">
        <w:rPr>
          <w:rFonts w:ascii="宋体" w:eastAsia="宋体" w:hAnsi="宋体" w:hint="eastAsia"/>
          <w:sz w:val="22"/>
        </w:rPr>
        <w:t>舒缓法</w:t>
      </w:r>
      <w:proofErr w:type="gramEnd"/>
      <w:r w:rsidRPr="00C512F9">
        <w:rPr>
          <w:rFonts w:ascii="宋体" w:eastAsia="宋体" w:hAnsi="宋体" w:hint="eastAsia"/>
          <w:sz w:val="22"/>
        </w:rPr>
        <w:t>TCT和听觉过敏AT等，每种策略均有对应的</w:t>
      </w:r>
      <w:proofErr w:type="gramStart"/>
      <w:r w:rsidRPr="00C512F9">
        <w:rPr>
          <w:rFonts w:ascii="宋体" w:eastAsia="宋体" w:hAnsi="宋体" w:hint="eastAsia"/>
          <w:sz w:val="22"/>
        </w:rPr>
        <w:t>治疗声</w:t>
      </w:r>
      <w:proofErr w:type="gramEnd"/>
      <w:r w:rsidRPr="00C512F9">
        <w:rPr>
          <w:rFonts w:ascii="宋体" w:eastAsia="宋体" w:hAnsi="宋体" w:hint="eastAsia"/>
          <w:sz w:val="22"/>
        </w:rPr>
        <w:t>推荐指数，指数越高推荐级别越高。</w:t>
      </w:r>
      <w:proofErr w:type="gramStart"/>
      <w:r w:rsidRPr="00C512F9">
        <w:rPr>
          <w:rFonts w:ascii="宋体" w:eastAsia="宋体" w:hAnsi="宋体" w:hint="eastAsia"/>
          <w:sz w:val="22"/>
        </w:rPr>
        <w:t>治疗声</w:t>
      </w:r>
      <w:proofErr w:type="gramEnd"/>
      <w:r w:rsidRPr="00C512F9">
        <w:rPr>
          <w:rFonts w:ascii="宋体" w:eastAsia="宋体" w:hAnsi="宋体" w:hint="eastAsia"/>
          <w:sz w:val="22"/>
        </w:rPr>
        <w:t>包括：特制频率类、特制调幅类、噪音类、音乐类、功能波、自然类共六个类别。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9</w:t>
      </w:r>
      <w:r w:rsidRPr="00C512F9">
        <w:rPr>
          <w:rFonts w:ascii="宋体" w:eastAsia="宋体" w:hAnsi="宋体" w:hint="eastAsia"/>
          <w:sz w:val="22"/>
        </w:rPr>
        <w:t>可定制治疗疗程，记录疗程的完成率；每疗程可定制至少五个左、右耳配方，包括治疗声、治疗时长、治疗时段等。</w:t>
      </w:r>
    </w:p>
    <w:p w:rsidR="005A5E97" w:rsidRPr="00C512F9" w:rsidRDefault="005A5E97" w:rsidP="005A5E97">
      <w:pPr>
        <w:adjustRightInd w:val="0"/>
        <w:snapToGrid w:val="0"/>
        <w:spacing w:line="440" w:lineRule="exact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 w:hint="eastAsia"/>
          <w:sz w:val="22"/>
        </w:rPr>
        <w:t>二、性能指标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 w:hint="eastAsia"/>
          <w:sz w:val="22"/>
        </w:rPr>
        <w:t>1、测试范围</w:t>
      </w:r>
      <w:r>
        <w:rPr>
          <w:rFonts w:ascii="宋体" w:eastAsia="宋体" w:hAnsi="宋体" w:hint="eastAsia"/>
          <w:sz w:val="22"/>
        </w:rPr>
        <w:t>：</w:t>
      </w:r>
      <w:r w:rsidRPr="00C512F9">
        <w:rPr>
          <w:rFonts w:ascii="宋体" w:eastAsia="宋体" w:hAnsi="宋体" w:hint="eastAsia"/>
          <w:sz w:val="22"/>
        </w:rPr>
        <w:t>压耳式耳机（频率）63～12500 Hz</w:t>
      </w:r>
      <w:r w:rsidRPr="00C512F9">
        <w:rPr>
          <w:rFonts w:ascii="宋体" w:eastAsia="宋体" w:hAnsi="宋体"/>
          <w:sz w:val="22"/>
        </w:rPr>
        <w:t xml:space="preserve">  </w:t>
      </w:r>
      <w:r w:rsidRPr="00C512F9">
        <w:rPr>
          <w:rFonts w:ascii="宋体" w:eastAsia="宋体" w:hAnsi="宋体" w:hint="eastAsia"/>
          <w:sz w:val="22"/>
        </w:rPr>
        <w:t>（响度）-10～120 dB HL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2</w:t>
      </w:r>
      <w:r w:rsidRPr="00C512F9">
        <w:rPr>
          <w:rFonts w:ascii="宋体" w:eastAsia="宋体" w:hAnsi="宋体" w:hint="eastAsia"/>
          <w:sz w:val="22"/>
        </w:rPr>
        <w:t>、有</w:t>
      </w:r>
      <w:proofErr w:type="gramStart"/>
      <w:r w:rsidRPr="00C512F9">
        <w:rPr>
          <w:rFonts w:ascii="宋体" w:eastAsia="宋体" w:hAnsi="宋体" w:hint="eastAsia"/>
          <w:sz w:val="22"/>
        </w:rPr>
        <w:t>频率声</w:t>
      </w:r>
      <w:proofErr w:type="gramEnd"/>
      <w:r w:rsidRPr="00C512F9">
        <w:rPr>
          <w:rFonts w:ascii="宋体" w:eastAsia="宋体" w:hAnsi="宋体" w:hint="eastAsia"/>
          <w:sz w:val="22"/>
        </w:rPr>
        <w:t>信号：纯音、脉冲纯音、</w:t>
      </w:r>
      <w:proofErr w:type="gramStart"/>
      <w:r w:rsidRPr="00C512F9">
        <w:rPr>
          <w:rFonts w:ascii="宋体" w:eastAsia="宋体" w:hAnsi="宋体" w:hint="eastAsia"/>
          <w:sz w:val="22"/>
        </w:rPr>
        <w:t>啭</w:t>
      </w:r>
      <w:proofErr w:type="gramEnd"/>
      <w:r w:rsidRPr="00C512F9">
        <w:rPr>
          <w:rFonts w:ascii="宋体" w:eastAsia="宋体" w:hAnsi="宋体" w:hint="eastAsia"/>
          <w:sz w:val="22"/>
        </w:rPr>
        <w:t>音、脉冲</w:t>
      </w:r>
      <w:proofErr w:type="gramStart"/>
      <w:r w:rsidRPr="00C512F9">
        <w:rPr>
          <w:rFonts w:ascii="宋体" w:eastAsia="宋体" w:hAnsi="宋体" w:hint="eastAsia"/>
          <w:sz w:val="22"/>
        </w:rPr>
        <w:t>啭</w:t>
      </w:r>
      <w:proofErr w:type="gramEnd"/>
      <w:r w:rsidRPr="00C512F9">
        <w:rPr>
          <w:rFonts w:ascii="宋体" w:eastAsia="宋体" w:hAnsi="宋体" w:hint="eastAsia"/>
          <w:sz w:val="22"/>
        </w:rPr>
        <w:t>音、窄带噪音、BT噪音、Hiss噪音、AM音等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3</w:t>
      </w:r>
      <w:r w:rsidRPr="00C512F9">
        <w:rPr>
          <w:rFonts w:ascii="宋体" w:eastAsia="宋体" w:hAnsi="宋体" w:hint="eastAsia"/>
          <w:sz w:val="22"/>
        </w:rPr>
        <w:t>、无</w:t>
      </w:r>
      <w:proofErr w:type="gramStart"/>
      <w:r w:rsidRPr="00C512F9">
        <w:rPr>
          <w:rFonts w:ascii="宋体" w:eastAsia="宋体" w:hAnsi="宋体" w:hint="eastAsia"/>
          <w:sz w:val="22"/>
        </w:rPr>
        <w:t>频率声</w:t>
      </w:r>
      <w:proofErr w:type="gramEnd"/>
      <w:r w:rsidRPr="00C512F9">
        <w:rPr>
          <w:rFonts w:ascii="宋体" w:eastAsia="宋体" w:hAnsi="宋体" w:hint="eastAsia"/>
          <w:sz w:val="22"/>
        </w:rPr>
        <w:t>信号：低频噪音（布朗噪音）、中频噪音(</w:t>
      </w:r>
      <w:proofErr w:type="gramStart"/>
      <w:r w:rsidRPr="00C512F9">
        <w:rPr>
          <w:rFonts w:ascii="宋体" w:eastAsia="宋体" w:hAnsi="宋体" w:hint="eastAsia"/>
          <w:sz w:val="22"/>
        </w:rPr>
        <w:t>反灰噪音</w:t>
      </w:r>
      <w:proofErr w:type="gramEnd"/>
      <w:r w:rsidRPr="00C512F9">
        <w:rPr>
          <w:rFonts w:ascii="宋体" w:eastAsia="宋体" w:hAnsi="宋体" w:hint="eastAsia"/>
          <w:sz w:val="22"/>
        </w:rPr>
        <w:t>)、高频噪音(紫噪音)、白噪音、粉红噪音、言语噪音、自然音等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4</w:t>
      </w:r>
      <w:r w:rsidRPr="00C512F9">
        <w:rPr>
          <w:rFonts w:ascii="宋体" w:eastAsia="宋体" w:hAnsi="宋体" w:hint="eastAsia"/>
          <w:sz w:val="22"/>
        </w:rPr>
        <w:t>、</w:t>
      </w:r>
      <w:proofErr w:type="gramStart"/>
      <w:r w:rsidRPr="00C512F9">
        <w:rPr>
          <w:rFonts w:ascii="宋体" w:eastAsia="宋体" w:hAnsi="宋体" w:hint="eastAsia"/>
          <w:sz w:val="22"/>
        </w:rPr>
        <w:t>最大总</w:t>
      </w:r>
      <w:proofErr w:type="gramEnd"/>
      <w:r w:rsidRPr="00C512F9">
        <w:rPr>
          <w:rFonts w:ascii="宋体" w:eastAsia="宋体" w:hAnsi="宋体" w:hint="eastAsia"/>
          <w:sz w:val="22"/>
        </w:rPr>
        <w:t>谐波失真</w:t>
      </w:r>
      <w:r>
        <w:rPr>
          <w:rFonts w:ascii="宋体" w:eastAsia="宋体" w:hAnsi="宋体" w:hint="eastAsia"/>
          <w:sz w:val="22"/>
        </w:rPr>
        <w:t xml:space="preserve">          </w:t>
      </w:r>
      <w:r w:rsidRPr="00C512F9">
        <w:rPr>
          <w:rFonts w:ascii="宋体" w:eastAsia="宋体" w:hAnsi="宋体" w:hint="eastAsia"/>
          <w:sz w:val="22"/>
        </w:rPr>
        <w:t>气导 ≤1.0%</w:t>
      </w:r>
      <w:r>
        <w:rPr>
          <w:rFonts w:ascii="宋体" w:eastAsia="宋体" w:hAnsi="宋体" w:hint="eastAsia"/>
          <w:sz w:val="22"/>
        </w:rPr>
        <w:t xml:space="preserve">            </w:t>
      </w:r>
      <w:r w:rsidRPr="00C512F9">
        <w:rPr>
          <w:rFonts w:ascii="宋体" w:eastAsia="宋体" w:hAnsi="宋体" w:hint="eastAsia"/>
          <w:sz w:val="22"/>
        </w:rPr>
        <w:t>骨导 ≤1.5%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C512F9">
        <w:rPr>
          <w:rFonts w:ascii="宋体" w:eastAsia="宋体" w:hAnsi="宋体"/>
          <w:sz w:val="22"/>
        </w:rPr>
        <w:t>5</w:t>
      </w:r>
      <w:r w:rsidRPr="00C512F9">
        <w:rPr>
          <w:rFonts w:ascii="宋体" w:eastAsia="宋体" w:hAnsi="宋体" w:hint="eastAsia"/>
          <w:sz w:val="22"/>
        </w:rPr>
        <w:t>、频率步长</w:t>
      </w:r>
      <w:r>
        <w:rPr>
          <w:rFonts w:ascii="宋体" w:eastAsia="宋体" w:hAnsi="宋体" w:hint="eastAsia"/>
          <w:sz w:val="22"/>
        </w:rPr>
        <w:t>：</w:t>
      </w:r>
      <w:r w:rsidRPr="00C512F9">
        <w:rPr>
          <w:rFonts w:ascii="宋体" w:eastAsia="宋体" w:hAnsi="宋体" w:hint="eastAsia"/>
          <w:sz w:val="22"/>
        </w:rPr>
        <w:t>包括标准步长、1、1/2、1/3、1/6、1/12、1/24、1/48、1/96倍频程以及1、10、50、100、500、1000 Hz</w:t>
      </w:r>
    </w:p>
    <w:p w:rsidR="005A5E97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三、</w:t>
      </w:r>
      <w:r w:rsidRPr="00C512F9">
        <w:rPr>
          <w:rFonts w:ascii="宋体" w:eastAsia="宋体" w:hAnsi="宋体" w:hint="eastAsia"/>
          <w:sz w:val="22"/>
        </w:rPr>
        <w:t>配置清单</w:t>
      </w:r>
    </w:p>
    <w:p w:rsidR="005A5E97" w:rsidRPr="00C512F9" w:rsidRDefault="005A5E97" w:rsidP="005A5E97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</w:p>
    <w:tbl>
      <w:tblPr>
        <w:tblW w:w="9596" w:type="dxa"/>
        <w:jc w:val="center"/>
        <w:tblLook w:val="0000" w:firstRow="0" w:lastRow="0" w:firstColumn="0" w:lastColumn="0" w:noHBand="0" w:noVBand="0"/>
      </w:tblPr>
      <w:tblGrid>
        <w:gridCol w:w="1626"/>
        <w:gridCol w:w="2420"/>
        <w:gridCol w:w="3584"/>
        <w:gridCol w:w="1966"/>
      </w:tblGrid>
      <w:tr w:rsidR="005A5E97" w:rsidRPr="007E3363" w:rsidTr="00906159">
        <w:trPr>
          <w:trHeight w:val="337"/>
          <w:jc w:val="center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E97" w:rsidRPr="007E3363" w:rsidRDefault="005A5E97" w:rsidP="00906159">
            <w:pPr>
              <w:adjustRightInd w:val="0"/>
              <w:snapToGrid w:val="0"/>
              <w:spacing w:line="440" w:lineRule="exact"/>
              <w:ind w:left="425" w:hangingChars="193" w:hanging="425"/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结构组成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97" w:rsidRPr="007E3363" w:rsidRDefault="005A5E97" w:rsidP="00906159">
            <w:pPr>
              <w:adjustRightInd w:val="0"/>
              <w:snapToGrid w:val="0"/>
              <w:spacing w:line="440" w:lineRule="exact"/>
              <w:ind w:left="425" w:hangingChars="193" w:hanging="425"/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名称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97" w:rsidRPr="007E3363" w:rsidRDefault="005A5E97" w:rsidP="00906159">
            <w:pPr>
              <w:adjustRightInd w:val="0"/>
              <w:snapToGrid w:val="0"/>
              <w:spacing w:line="440" w:lineRule="exact"/>
              <w:ind w:left="425" w:hangingChars="193" w:hanging="425"/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规格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E97" w:rsidRPr="007E3363" w:rsidRDefault="005A5E97" w:rsidP="00906159">
            <w:pPr>
              <w:adjustRightInd w:val="0"/>
              <w:snapToGrid w:val="0"/>
              <w:spacing w:line="440" w:lineRule="exact"/>
              <w:ind w:left="425" w:hangingChars="193" w:hanging="425"/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数量、单位</w:t>
            </w:r>
          </w:p>
        </w:tc>
      </w:tr>
      <w:tr w:rsidR="005A5E97" w:rsidRPr="00C512F9" w:rsidTr="00906159">
        <w:trPr>
          <w:trHeight w:val="337"/>
          <w:jc w:val="center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adjustRightInd w:val="0"/>
              <w:snapToGrid w:val="0"/>
              <w:spacing w:line="440" w:lineRule="exact"/>
              <w:ind w:left="425" w:hangingChars="193" w:hanging="425"/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软件模块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5E97" w:rsidRPr="007E3363" w:rsidRDefault="005A5E97" w:rsidP="00906159">
            <w:pPr>
              <w:adjustRightInd w:val="0"/>
              <w:snapToGrid w:val="0"/>
              <w:spacing w:line="440" w:lineRule="exact"/>
              <w:ind w:left="425" w:hangingChars="193" w:hanging="425"/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患者档案软件模块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5E97" w:rsidRPr="007E3363" w:rsidRDefault="005A5E97" w:rsidP="00906159">
            <w:pPr>
              <w:adjustRightInd w:val="0"/>
              <w:snapToGrid w:val="0"/>
              <w:spacing w:line="440" w:lineRule="exact"/>
              <w:ind w:left="425" w:hangingChars="193" w:hanging="425"/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集成化管理</w:t>
            </w:r>
            <w:proofErr w:type="gramStart"/>
            <w:r w:rsidRPr="007E3363">
              <w:rPr>
                <w:rFonts w:ascii="宋体" w:eastAsia="宋体" w:hAnsi="宋体" w:hint="eastAsia"/>
                <w:sz w:val="22"/>
              </w:rPr>
              <w:t>理</w:t>
            </w:r>
            <w:proofErr w:type="gram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adjustRightInd w:val="0"/>
              <w:snapToGrid w:val="0"/>
              <w:spacing w:line="440" w:lineRule="exact"/>
              <w:ind w:left="425" w:hangingChars="193" w:hanging="425"/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1套</w:t>
            </w:r>
          </w:p>
        </w:tc>
      </w:tr>
      <w:tr w:rsidR="005A5E97" w:rsidRPr="00C512F9" w:rsidTr="00906159">
        <w:trPr>
          <w:trHeight w:val="337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问诊评估软件模块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/>
                <w:sz w:val="22"/>
              </w:rPr>
              <w:t>TRI</w:t>
            </w:r>
            <w:r w:rsidRPr="007E3363">
              <w:rPr>
                <w:rFonts w:ascii="宋体" w:eastAsia="宋体" w:hAnsi="宋体" w:hint="eastAsia"/>
                <w:sz w:val="22"/>
              </w:rPr>
              <w:t>问诊表、THI、TEQ耳鸣量表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1套</w:t>
            </w:r>
          </w:p>
        </w:tc>
      </w:tr>
      <w:tr w:rsidR="005A5E97" w:rsidRPr="00C512F9" w:rsidTr="00906159">
        <w:trPr>
          <w:trHeight w:val="365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耳鸣检查软件模块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不少于5个</w:t>
            </w:r>
            <w:proofErr w:type="gramStart"/>
            <w:r w:rsidRPr="007E3363">
              <w:rPr>
                <w:rFonts w:ascii="宋体" w:eastAsia="宋体" w:hAnsi="宋体" w:hint="eastAsia"/>
                <w:sz w:val="22"/>
              </w:rPr>
              <w:t>防真耳鸣</w:t>
            </w:r>
            <w:proofErr w:type="gramEnd"/>
            <w:r w:rsidRPr="007E3363">
              <w:rPr>
                <w:rFonts w:ascii="宋体" w:eastAsia="宋体" w:hAnsi="宋体" w:hint="eastAsia"/>
                <w:sz w:val="22"/>
              </w:rPr>
              <w:t>匹配音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1套</w:t>
            </w:r>
          </w:p>
        </w:tc>
      </w:tr>
      <w:tr w:rsidR="005A5E97" w:rsidRPr="00C512F9" w:rsidTr="00906159">
        <w:trPr>
          <w:trHeight w:val="302"/>
          <w:jc w:val="center"/>
        </w:trPr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耳鸣治疗软件模块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耳鸣</w:t>
            </w:r>
            <w:proofErr w:type="gramStart"/>
            <w:r w:rsidRPr="007E3363">
              <w:rPr>
                <w:rFonts w:ascii="宋体" w:eastAsia="宋体" w:hAnsi="宋体" w:hint="eastAsia"/>
                <w:sz w:val="22"/>
              </w:rPr>
              <w:t>声治疗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1套</w:t>
            </w:r>
          </w:p>
        </w:tc>
      </w:tr>
      <w:tr w:rsidR="005A5E97" w:rsidRPr="00C512F9" w:rsidTr="00906159">
        <w:trPr>
          <w:trHeight w:val="440"/>
          <w:jc w:val="center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硬件配置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耳鸣诊疗仪主机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1台</w:t>
            </w:r>
          </w:p>
        </w:tc>
      </w:tr>
      <w:tr w:rsidR="005A5E97" w:rsidRPr="00C512F9" w:rsidTr="00906159">
        <w:trPr>
          <w:trHeight w:val="471"/>
          <w:jc w:val="center"/>
        </w:trPr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电源适配器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1个</w:t>
            </w:r>
          </w:p>
        </w:tc>
      </w:tr>
      <w:tr w:rsidR="005A5E97" w:rsidRPr="00C512F9" w:rsidTr="00906159">
        <w:trPr>
          <w:trHeight w:val="327"/>
          <w:jc w:val="center"/>
        </w:trPr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E97" w:rsidRPr="007E3363" w:rsidRDefault="005A5E97" w:rsidP="00906159">
            <w:pPr>
              <w:jc w:val="left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压耳式耳机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E97" w:rsidRPr="007E3363" w:rsidRDefault="005A5E97" w:rsidP="00906159">
            <w:pPr>
              <w:jc w:val="center"/>
              <w:rPr>
                <w:rFonts w:ascii="宋体" w:eastAsia="宋体" w:hAnsi="宋体"/>
                <w:sz w:val="22"/>
              </w:rPr>
            </w:pPr>
            <w:r w:rsidRPr="007E3363">
              <w:rPr>
                <w:rFonts w:ascii="宋体" w:eastAsia="宋体" w:hAnsi="宋体" w:hint="eastAsia"/>
                <w:sz w:val="22"/>
              </w:rPr>
              <w:t>1副</w:t>
            </w:r>
          </w:p>
        </w:tc>
      </w:tr>
    </w:tbl>
    <w:p w:rsidR="00A05069" w:rsidRDefault="00A05069">
      <w:bookmarkStart w:id="0" w:name="_GoBack"/>
      <w:bookmarkEnd w:id="0"/>
    </w:p>
    <w:sectPr w:rsidR="00A0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70" w:rsidRDefault="00897970" w:rsidP="005A5E97">
      <w:r>
        <w:separator/>
      </w:r>
    </w:p>
  </w:endnote>
  <w:endnote w:type="continuationSeparator" w:id="0">
    <w:p w:rsidR="00897970" w:rsidRDefault="00897970" w:rsidP="005A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70" w:rsidRDefault="00897970" w:rsidP="005A5E97">
      <w:r>
        <w:separator/>
      </w:r>
    </w:p>
  </w:footnote>
  <w:footnote w:type="continuationSeparator" w:id="0">
    <w:p w:rsidR="00897970" w:rsidRDefault="00897970" w:rsidP="005A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3E"/>
    <w:rsid w:val="00037A3E"/>
    <w:rsid w:val="005A5E97"/>
    <w:rsid w:val="00897970"/>
    <w:rsid w:val="00A0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E97"/>
    <w:rPr>
      <w:sz w:val="18"/>
      <w:szCs w:val="18"/>
    </w:rPr>
  </w:style>
  <w:style w:type="paragraph" w:styleId="a5">
    <w:name w:val="Normal (Web)"/>
    <w:basedOn w:val="a"/>
    <w:unhideWhenUsed/>
    <w:rsid w:val="005A5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5A5E97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E97"/>
    <w:rPr>
      <w:sz w:val="18"/>
      <w:szCs w:val="18"/>
    </w:rPr>
  </w:style>
  <w:style w:type="paragraph" w:styleId="a5">
    <w:name w:val="Normal (Web)"/>
    <w:basedOn w:val="a"/>
    <w:unhideWhenUsed/>
    <w:rsid w:val="005A5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5A5E97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2</cp:revision>
  <dcterms:created xsi:type="dcterms:W3CDTF">2024-05-17T15:56:00Z</dcterms:created>
  <dcterms:modified xsi:type="dcterms:W3CDTF">2024-05-17T15:56:00Z</dcterms:modified>
</cp:coreProperties>
</file>