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B0" w:rsidRPr="009D16D4" w:rsidRDefault="004B1CB0" w:rsidP="004B1CB0">
      <w:pPr>
        <w:spacing w:before="120" w:after="120"/>
        <w:ind w:left="566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9D16D4">
        <w:rPr>
          <w:rFonts w:asciiTheme="minorEastAsia" w:hAnsiTheme="minorEastAsia" w:hint="eastAsia"/>
          <w:b/>
          <w:bCs/>
          <w:color w:val="000000" w:themeColor="text1"/>
          <w:szCs w:val="24"/>
        </w:rPr>
        <w:t>附件1：</w:t>
      </w:r>
    </w:p>
    <w:p w:rsidR="004B1CB0" w:rsidRPr="009D16D4" w:rsidRDefault="004B1CB0" w:rsidP="004B1CB0">
      <w:pPr>
        <w:spacing w:before="120" w:after="120"/>
        <w:ind w:left="566"/>
        <w:jc w:val="center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9D16D4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安检设备招标参数及评分内容</w:t>
      </w:r>
    </w:p>
    <w:p w:rsidR="004B1CB0" w:rsidRPr="009D16D4" w:rsidRDefault="004B1CB0" w:rsidP="004B1CB0">
      <w:pPr>
        <w:pStyle w:val="a3"/>
        <w:spacing w:before="156" w:after="156"/>
        <w:rPr>
          <w:rFonts w:asciiTheme="minorEastAsia" w:hAnsiTheme="minorEastAsia"/>
          <w:color w:val="000000" w:themeColor="text1"/>
          <w:sz w:val="24"/>
          <w:szCs w:val="24"/>
        </w:rPr>
      </w:pPr>
      <w:r w:rsidRPr="009D16D4">
        <w:rPr>
          <w:rFonts w:asciiTheme="minorEastAsia" w:hAnsiTheme="minorEastAsia" w:hint="eastAsia"/>
          <w:color w:val="000000" w:themeColor="text1"/>
          <w:sz w:val="24"/>
          <w:szCs w:val="24"/>
        </w:rPr>
        <w:t>1.1微计量X光机技术参数：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01"/>
        <w:gridCol w:w="4820"/>
      </w:tblGrid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项目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具体参数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通道尺寸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≥600×500㎜（W×H）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射线</w:t>
            </w:r>
            <w:proofErr w:type="gramStart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源数量</w:t>
            </w:r>
            <w:proofErr w:type="gramEnd"/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1个及以上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线分辨力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≥AWG40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穿透分辨力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≥AWG32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空间分辨力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color w:val="000000" w:themeColor="text1"/>
                <w:szCs w:val="21"/>
              </w:rPr>
              <w:t>1.0mm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穿透力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≥30㎜钢板；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单次检查剂量检验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≤3μ</w:t>
            </w:r>
            <w:proofErr w:type="spellStart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Gy</w:t>
            </w:r>
            <w:proofErr w:type="spellEnd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；</w:t>
            </w:r>
          </w:p>
        </w:tc>
      </w:tr>
      <w:tr w:rsidR="004B1CB0" w:rsidRPr="009D16D4" w:rsidTr="00FC4A58">
        <w:trPr>
          <w:trHeight w:val="1248"/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射线泄露计量率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≤1.0μ</w:t>
            </w:r>
            <w:proofErr w:type="spellStart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Sv</w:t>
            </w:r>
            <w:proofErr w:type="spellEnd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/h（距离外壳5cm处）；符合所有国际国内健康安全标准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设备噪音试验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≤55dB(A)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proofErr w:type="gramStart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射频场</w:t>
            </w:r>
            <w:proofErr w:type="gramEnd"/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感应的传导骚扰抗扰度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应符合GB/T 17799.1-2017 中规定限值的频率范围：0.15MHz~80MHz；试验场强：3V/m；调制：80%AM（1kHz）的符合；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物质分辨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对有机物、无机物、混合物能以颜色区分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输送装置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设备输送带正反向运转不应跑偏，正向连续运转10min，横向位移小于等于1mm；设备反向运转30s内，横向位移小于等于1mm；</w:t>
            </w:r>
          </w:p>
        </w:tc>
      </w:tr>
      <w:tr w:rsidR="004B1CB0" w:rsidRPr="009D16D4" w:rsidTr="00FC4A58">
        <w:trPr>
          <w:jc w:val="center"/>
        </w:trPr>
        <w:tc>
          <w:tcPr>
            <w:tcW w:w="874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color w:val="000000" w:themeColor="text1"/>
                <w:szCs w:val="21"/>
              </w:rPr>
              <w:t>操作系统</w:t>
            </w:r>
          </w:p>
        </w:tc>
        <w:tc>
          <w:tcPr>
            <w:tcW w:w="4820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黑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黑体" w:hint="eastAsia"/>
                <w:color w:val="000000" w:themeColor="text1"/>
                <w:szCs w:val="21"/>
              </w:rPr>
              <w:t>Windows7及之上操作系统</w:t>
            </w:r>
          </w:p>
        </w:tc>
      </w:tr>
    </w:tbl>
    <w:p w:rsidR="004B1CB0" w:rsidRPr="009D16D4" w:rsidRDefault="004B1CB0" w:rsidP="004B1CB0">
      <w:pPr>
        <w:spacing w:before="120" w:after="120"/>
        <w:ind w:firstLineChars="100" w:firstLine="210"/>
        <w:rPr>
          <w:rFonts w:asciiTheme="minorEastAsia" w:hAnsiTheme="minorEastAsia" w:cs="宋体"/>
          <w:bCs/>
          <w:color w:val="000000" w:themeColor="text1"/>
          <w:szCs w:val="24"/>
        </w:rPr>
      </w:pPr>
      <w:r w:rsidRPr="009D16D4">
        <w:rPr>
          <w:rFonts w:asciiTheme="minorEastAsia" w:hAnsiTheme="minorEastAsia" w:cs="宋体" w:hint="eastAsia"/>
          <w:bCs/>
          <w:color w:val="000000" w:themeColor="text1"/>
          <w:szCs w:val="24"/>
        </w:rPr>
        <w:t>1.2功能要求：</w:t>
      </w:r>
    </w:p>
    <w:tbl>
      <w:tblPr>
        <w:tblW w:w="7478" w:type="dxa"/>
        <w:jc w:val="center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52"/>
        <w:gridCol w:w="4927"/>
      </w:tblGrid>
      <w:tr w:rsidR="004B1CB0" w:rsidRPr="009D16D4" w:rsidTr="00FC4A58">
        <w:trPr>
          <w:trHeight w:val="440"/>
          <w:jc w:val="center"/>
        </w:trPr>
        <w:tc>
          <w:tcPr>
            <w:tcW w:w="1099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lastRenderedPageBreak/>
              <w:t>序号</w:t>
            </w:r>
          </w:p>
        </w:tc>
        <w:tc>
          <w:tcPr>
            <w:tcW w:w="1452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功能</w:t>
            </w:r>
          </w:p>
        </w:tc>
        <w:tc>
          <w:tcPr>
            <w:tcW w:w="4927" w:type="dxa"/>
            <w:vAlign w:val="center"/>
          </w:tcPr>
          <w:p w:rsidR="004B1CB0" w:rsidRPr="009D16D4" w:rsidRDefault="004B1CB0" w:rsidP="00FC4A58">
            <w:pPr>
              <w:widowControl/>
              <w:spacing w:before="120" w:after="120"/>
              <w:jc w:val="center"/>
              <w:textAlignment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bookmarkStart w:id="0" w:name="OLE_LINK1"/>
            <w:r w:rsidRPr="009D16D4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功能描述</w:t>
            </w:r>
            <w:bookmarkEnd w:id="0"/>
          </w:p>
        </w:tc>
      </w:tr>
      <w:tr w:rsidR="004B1CB0" w:rsidRPr="009D16D4" w:rsidTr="00FC4A58">
        <w:trPr>
          <w:trHeight w:val="440"/>
          <w:jc w:val="center"/>
        </w:trPr>
        <w:tc>
          <w:tcPr>
            <w:tcW w:w="1099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4B1CB0" w:rsidRPr="009D16D4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一键开关机</w:t>
            </w:r>
          </w:p>
        </w:tc>
        <w:tc>
          <w:tcPr>
            <w:tcW w:w="4927" w:type="dxa"/>
            <w:vAlign w:val="center"/>
          </w:tcPr>
          <w:p w:rsidR="004B1CB0" w:rsidRPr="009D16D4" w:rsidRDefault="004B1CB0" w:rsidP="00FC4A58">
            <w:pPr>
              <w:widowControl/>
              <w:spacing w:before="120" w:after="120"/>
              <w:jc w:val="center"/>
              <w:textAlignment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9D16D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设备应可一键开机，一键完全切断设备电源。</w:t>
            </w:r>
          </w:p>
        </w:tc>
      </w:tr>
      <w:tr w:rsidR="004B1CB0" w:rsidTr="00FC4A58">
        <w:trPr>
          <w:trHeight w:val="1022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ind w:firstLineChars="50" w:firstLine="105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扫描功能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可识别金属及陶瓷刀具、枪械及零部件、易燃易爆品、腐蚀性物品、压力容器</w:t>
            </w:r>
            <w:r>
              <w:rPr>
                <w:rStyle w:val="font11"/>
                <w:rFonts w:asciiTheme="minorEastAsia" w:hAnsiTheme="minorEastAsia" w:hint="default"/>
              </w:rPr>
              <w:t>等违禁品。</w:t>
            </w:r>
          </w:p>
        </w:tc>
      </w:tr>
      <w:tr w:rsidR="004B1CB0" w:rsidTr="00FC4A58">
        <w:trPr>
          <w:trHeight w:val="1040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安检门联动功能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在安检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机阅图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界面应能实时显示安检门被检查人的报警状态，同时有图形形状提示被检查人的报警区域。</w:t>
            </w:r>
          </w:p>
        </w:tc>
      </w:tr>
      <w:tr w:rsidR="004B1CB0" w:rsidTr="00FC4A58">
        <w:trPr>
          <w:trHeight w:val="1057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AI智能</w:t>
            </w:r>
            <w:proofErr w:type="gramStart"/>
            <w:r>
              <w:rPr>
                <w:rFonts w:asciiTheme="minorEastAsia" w:hAnsiTheme="minorEastAsia" w:cs="宋体" w:hint="eastAsia"/>
                <w:bCs/>
                <w:szCs w:val="21"/>
              </w:rPr>
              <w:t>判图功能</w:t>
            </w:r>
            <w:proofErr w:type="gramEnd"/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安检机应能对被检测物体形状进行自动判别，对违禁品应能支持方框框出报警提示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left"/>
              <w:rPr>
                <w:rFonts w:asciiTheme="minorEastAsia" w:hAnsiTheme="minorEastAsia" w:cs="宋体"/>
                <w:szCs w:val="21"/>
              </w:rPr>
            </w:pPr>
            <w:bookmarkStart w:id="1" w:name="OLE_LINK3"/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r>
              <w:rPr>
                <w:rFonts w:asciiTheme="minorEastAsia" w:hAnsiTheme="minorEastAsia" w:cs="宋体" w:hint="eastAsia"/>
                <w:szCs w:val="21"/>
              </w:rPr>
              <w:t>危险液体判断功能</w:t>
            </w:r>
            <w:bookmarkEnd w:id="1"/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>当放置在常用塑料饮料瓶内危险液体通过X光通道时，应能检测并报警：如柴油，汽油，机油，二甲苯等（</w:t>
            </w:r>
            <w:r>
              <w:rPr>
                <w:rFonts w:asciiTheme="minorEastAsia" w:hAnsiTheme="minorEastAsia" w:hint="eastAsia"/>
                <w:b/>
                <w:szCs w:val="24"/>
              </w:rPr>
              <w:t>交货现场验收</w:t>
            </w:r>
            <w:r>
              <w:rPr>
                <w:rFonts w:asciiTheme="minorEastAsia" w:hAnsiTheme="minorEastAsia" w:hint="eastAsia"/>
                <w:bCs/>
                <w:szCs w:val="24"/>
              </w:rPr>
              <w:t>）。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6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多瓶液体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判断功能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>当放置在常用塑料饮料</w:t>
            </w:r>
            <w:proofErr w:type="gramStart"/>
            <w:r>
              <w:rPr>
                <w:rFonts w:asciiTheme="minorEastAsia" w:hAnsiTheme="minorEastAsia" w:hint="eastAsia"/>
                <w:bCs/>
                <w:szCs w:val="24"/>
              </w:rPr>
              <w:t>瓶内多瓶液体</w:t>
            </w:r>
            <w:proofErr w:type="gramEnd"/>
            <w:r>
              <w:rPr>
                <w:rFonts w:asciiTheme="minorEastAsia" w:hAnsiTheme="minorEastAsia" w:hint="eastAsia"/>
                <w:bCs/>
                <w:szCs w:val="24"/>
              </w:rPr>
              <w:t>通过X光通道时，应能对危险液体分别提示报警（</w:t>
            </w:r>
            <w:r>
              <w:rPr>
                <w:rFonts w:asciiTheme="minorEastAsia" w:hAnsiTheme="minorEastAsia" w:hint="eastAsia"/>
                <w:b/>
                <w:szCs w:val="24"/>
              </w:rPr>
              <w:t>交货现场验收</w:t>
            </w:r>
            <w:r>
              <w:rPr>
                <w:rFonts w:asciiTheme="minorEastAsia" w:hAnsiTheme="minorEastAsia" w:hint="eastAsia"/>
                <w:bCs/>
                <w:szCs w:val="24"/>
              </w:rPr>
              <w:t>）。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7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灰度分辨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设备应能分辨厚度为1mm～60mm，厚度差不小于1mm的铝阶梯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8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有机物分辨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设备应能分辨厚度为1mm～120mm的聚甲基丙烯酸酯，并赋予不同饱和度的橙色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9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混合物分辨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设备能分辨厚度为1mm～60mm的铝，并赋予不同饱和度的绿色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10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无机物分辨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设备能分辨厚度为0.2mm～14mm的钢，并赋予不同饱和度的蓝色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11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有效材料分辨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设备应能分辨1.5mm、2.0mm和3.5mm三种厚度钢板后面的具有相同X射线衰减能力、不同等效原子序数的三种材料样本，并分别赋予绿色和蓝色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12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数据输入输出功能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具有网络接口、USB接口等多种数据导入导出接口，可实现数据的导入导出</w:t>
            </w:r>
          </w:p>
        </w:tc>
      </w:tr>
      <w:tr w:rsidR="004B1CB0" w:rsidTr="00FC4A58">
        <w:trPr>
          <w:trHeight w:val="425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13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图像处理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24比特实时处理</w:t>
            </w:r>
          </w:p>
        </w:tc>
      </w:tr>
      <w:tr w:rsidR="004B1CB0" w:rsidTr="00FC4A58">
        <w:trPr>
          <w:trHeight w:val="380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14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图像放大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图像任意区域可实现无级平滑放大</w:t>
            </w:r>
          </w:p>
        </w:tc>
      </w:tr>
      <w:tr w:rsidR="004B1CB0" w:rsidTr="00FC4A58">
        <w:trPr>
          <w:trHeight w:val="380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lastRenderedPageBreak/>
              <w:t>15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图像显示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能够进行黑白，伪彩色显示，并具备多种图像处理功能。具有物质分辨能力，能够有效区分有机物，无机物和混合物，无盲区，无死角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16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具有图像反转功能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对吸收率高的区域显示为亮色，对吸收率低的区域显示为深色</w:t>
            </w:r>
          </w:p>
        </w:tc>
      </w:tr>
      <w:tr w:rsidR="004B1CB0" w:rsidTr="00FC4A58">
        <w:trPr>
          <w:trHeight w:val="425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17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具有图像回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拉功能</w:t>
            </w:r>
            <w:proofErr w:type="gramEnd"/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设备应能够回拉每次每一个操作员ID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过包的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所有图像</w:t>
            </w:r>
          </w:p>
        </w:tc>
      </w:tr>
      <w:tr w:rsidR="004B1CB0" w:rsidTr="00FC4A58">
        <w:trPr>
          <w:trHeight w:val="490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18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具有行李计数功能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记录设备投入使用后被检行李物品累计计数，应不能够被清零复位</w:t>
            </w:r>
          </w:p>
        </w:tc>
      </w:tr>
      <w:tr w:rsidR="004B1CB0" w:rsidTr="00FC4A58">
        <w:trPr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19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图像存储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spacing w:before="120" w:after="1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自动保存全部被检物品扫描图像，并能够存储不少于100000幅图像（不低于1280×1024像素）。</w:t>
            </w:r>
          </w:p>
        </w:tc>
      </w:tr>
      <w:tr w:rsidR="004B1CB0" w:rsidTr="00FC4A58">
        <w:trPr>
          <w:trHeight w:val="614"/>
          <w:jc w:val="center"/>
        </w:trPr>
        <w:tc>
          <w:tcPr>
            <w:tcW w:w="1099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20</w:t>
            </w:r>
          </w:p>
        </w:tc>
        <w:tc>
          <w:tcPr>
            <w:tcW w:w="1452" w:type="dxa"/>
            <w:vAlign w:val="center"/>
          </w:tcPr>
          <w:p w:rsidR="004B1CB0" w:rsidRDefault="004B1CB0" w:rsidP="00FC4A58">
            <w:pPr>
              <w:spacing w:before="120" w:after="120" w:line="360" w:lineRule="atLeas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用户管理</w:t>
            </w:r>
          </w:p>
        </w:tc>
        <w:tc>
          <w:tcPr>
            <w:tcW w:w="4927" w:type="dxa"/>
            <w:vAlign w:val="center"/>
          </w:tcPr>
          <w:p w:rsidR="004B1CB0" w:rsidRDefault="004B1CB0" w:rsidP="00FC4A58">
            <w:pPr>
              <w:widowControl/>
              <w:spacing w:before="120" w:after="120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用户界面登陆权限等级至少分为操作人员、管理人员和维修人员三级权限进行管理。</w:t>
            </w:r>
          </w:p>
        </w:tc>
      </w:tr>
    </w:tbl>
    <w:p w:rsidR="004B1CB0" w:rsidRDefault="004B1CB0" w:rsidP="004B1CB0">
      <w:pPr>
        <w:pStyle w:val="a3"/>
        <w:spacing w:before="156" w:after="156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2.2安检门技术指标要求：</w:t>
      </w:r>
    </w:p>
    <w:tbl>
      <w:tblPr>
        <w:tblW w:w="7529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349"/>
        <w:gridCol w:w="5029"/>
      </w:tblGrid>
      <w:tr w:rsidR="004B1CB0" w:rsidTr="00FC4A58">
        <w:tc>
          <w:tcPr>
            <w:tcW w:w="1151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4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功能描述</w:t>
            </w:r>
          </w:p>
        </w:tc>
      </w:tr>
      <w:tr w:rsidR="004B1CB0" w:rsidTr="00FC4A58">
        <w:trPr>
          <w:trHeight w:val="90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通道尺寸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1990</w:t>
            </w:r>
            <w:r>
              <w:rPr>
                <w:rFonts w:ascii="宋体" w:eastAsia="宋体" w:hAnsi="宋体" w:cs="宋体" w:hint="eastAsia"/>
                <w:szCs w:val="21"/>
              </w:rPr>
              <w:t>(高) x 7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0(宽) x 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0(深)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公安部</w:t>
            </w:r>
            <w:r>
              <w:rPr>
                <w:rFonts w:ascii="宋体" w:eastAsia="宋体" w:hAnsi="宋体" w:cs="宋体" w:hint="eastAsia"/>
                <w:szCs w:val="21"/>
              </w:rPr>
              <w:t>检测</w:t>
            </w:r>
            <w:r>
              <w:rPr>
                <w:rFonts w:ascii="宋体" w:hAnsi="宋体" w:cs="宋体" w:hint="eastAsia"/>
                <w:szCs w:val="21"/>
              </w:rPr>
              <w:t>报告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设备需通过公安部检测中心按照GB 15210-</w:t>
            </w: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szCs w:val="21"/>
              </w:rPr>
              <w:t>标准进行至少4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项检测，并提供公安部检验报告证明；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34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绝缘电阻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正常条件：≥500MΩ，在潮热条件下不应小于80MΩ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34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功耗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.0W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★电量显示及设备功能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应配置7寸显示屏，应能显示电源状态。设备应配备内置锂电池，当使用市电供电时，应能自动对电池充电，当市电断电时，系统应能自动切换到备用电池。当使用30A锂电池时，应能维持系统工作40小时，应有低电压欠压告警功能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全金属显示功能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系统显示屏上应能以条状图形来显示通过系统的金属量。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探测区域内磁感应强度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12μT。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持续工作时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间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shd w:val="clear" w:color="auto" w:fill="auto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连续工作8小时，应能稳定工作。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黑色金属和有色金属探测模式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设备应可在有色或黑色金属探测模式间切换。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最低探测高度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在离地2cm高度处一个直径20mm铁球为测试物，以接近1m/s的速度通过安检门，系统应能报警。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计数功能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设备应具有双向计数统计功能，能可靠记录受检人数和报警人次。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软件功能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设备应具有自检功能，在开机时进行自检并显示检测结果。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报警声音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应与非报警声有区别。应能调节音调，以便能明确区别两台相邻探测门的报警。应能从静音到最大声强分档调节，最大声强不应低于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dB。</w:t>
            </w:r>
          </w:p>
        </w:tc>
      </w:tr>
      <w:tr w:rsidR="004B1CB0" w:rsidTr="00FC4A58">
        <w:trPr>
          <w:trHeight w:val="974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联网功能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设备能通过RS485总线与计算机联网通讯，远程计算机应能查看并设置各个参数，应能接收、保存设备的报警信息。</w:t>
            </w:r>
          </w:p>
        </w:tc>
      </w:tr>
      <w:tr w:rsidR="004B1CB0" w:rsidTr="00FC4A58">
        <w:trPr>
          <w:trHeight w:val="623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联网控制功能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设备应能输出至少一路控制信号给后端联动设备。</w:t>
            </w:r>
          </w:p>
        </w:tc>
      </w:tr>
      <w:tr w:rsidR="004B1CB0" w:rsidTr="00FC4A58"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:rsidR="004B1CB0" w:rsidRDefault="004B1CB0" w:rsidP="00FC4A58">
            <w:pPr>
              <w:spacing w:before="120" w:after="1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2" w:name="OLE_LINK4"/>
            <w:r>
              <w:rPr>
                <w:rFonts w:ascii="宋体" w:eastAsia="宋体" w:hAnsi="宋体" w:cs="宋体" w:hint="eastAsia"/>
                <w:bCs/>
                <w:szCs w:val="21"/>
              </w:rPr>
              <w:t>★</w:t>
            </w:r>
            <w:bookmarkEnd w:id="2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抗互相干扰功能</w:t>
            </w:r>
          </w:p>
        </w:tc>
        <w:tc>
          <w:tcPr>
            <w:tcW w:w="5029" w:type="dxa"/>
            <w:tcBorders>
              <w:tl2br w:val="nil"/>
              <w:tr2bl w:val="nil"/>
            </w:tcBorders>
          </w:tcPr>
          <w:p w:rsidR="004B1CB0" w:rsidRDefault="004B1CB0" w:rsidP="00FC4A58">
            <w:pPr>
              <w:spacing w:before="120" w:after="12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设备应能根据环境在开机时自动设置工作频率：2台门并排靠拢工作相距5厘米时，2台门应能独立正常工作，互不干扰。</w:t>
            </w:r>
          </w:p>
        </w:tc>
      </w:tr>
    </w:tbl>
    <w:p w:rsidR="004B1CB0" w:rsidRPr="009D16D4" w:rsidRDefault="004B1CB0" w:rsidP="004B1CB0">
      <w:pPr>
        <w:widowControl/>
        <w:shd w:val="clear" w:color="auto" w:fill="FFFFFF"/>
        <w:spacing w:line="345" w:lineRule="atLeast"/>
        <w:ind w:firstLine="5400"/>
        <w:jc w:val="right"/>
        <w:rPr>
          <w:rFonts w:ascii="微软雅黑" w:eastAsia="微软雅黑" w:hAnsi="微软雅黑" w:cs="宋体"/>
          <w:color w:val="4A4848"/>
          <w:kern w:val="0"/>
          <w:sz w:val="27"/>
          <w:szCs w:val="27"/>
        </w:rPr>
      </w:pPr>
    </w:p>
    <w:p w:rsidR="004B1CB0" w:rsidRDefault="004B1CB0" w:rsidP="004B1CB0">
      <w:r>
        <w:t>评分内容</w:t>
      </w:r>
      <w:r>
        <w:rPr>
          <w:rFonts w:hint="eastAsia"/>
        </w:rPr>
        <w:t>：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t>技术部分</w:t>
      </w:r>
      <w:r>
        <w:rPr>
          <w:rFonts w:hint="eastAsia"/>
        </w:rPr>
        <w:t>：</w:t>
      </w:r>
      <w:r>
        <w:t>以上参数需提供技术参数正负偏离表</w:t>
      </w:r>
      <w:r>
        <w:rPr>
          <w:rFonts w:hint="eastAsia"/>
        </w:rPr>
        <w:t>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带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“★”号项参数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需提供检测报告证明.</w:t>
      </w:r>
    </w:p>
    <w:p w:rsidR="004B1CB0" w:rsidRDefault="004B1CB0" w:rsidP="004B1CB0">
      <w:r>
        <w:t>商务部分</w:t>
      </w:r>
      <w:r>
        <w:rPr>
          <w:rFonts w:hint="eastAsia"/>
        </w:rPr>
        <w:t>：</w:t>
      </w:r>
      <w:r>
        <w:rPr>
          <w:rFonts w:hint="eastAsia"/>
        </w:rPr>
        <w:t>1.</w:t>
      </w:r>
      <w:r w:rsidRPr="00931B46">
        <w:rPr>
          <w:rFonts w:hint="eastAsia"/>
        </w:rPr>
        <w:t>投标产品制造商具备</w:t>
      </w:r>
      <w:r w:rsidRPr="00931B46">
        <w:rPr>
          <w:rFonts w:hint="eastAsia"/>
        </w:rPr>
        <w:t>ISO9001</w:t>
      </w:r>
      <w:r w:rsidRPr="00931B46">
        <w:rPr>
          <w:rFonts w:hint="eastAsia"/>
        </w:rPr>
        <w:t>质量管理体系认证、</w:t>
      </w:r>
      <w:r w:rsidRPr="00931B46">
        <w:rPr>
          <w:rFonts w:hint="eastAsia"/>
        </w:rPr>
        <w:t>ISO14001</w:t>
      </w:r>
      <w:r w:rsidRPr="00931B46">
        <w:rPr>
          <w:rFonts w:hint="eastAsia"/>
        </w:rPr>
        <w:t>环境管理体系认证、</w:t>
      </w:r>
      <w:r w:rsidRPr="00931B46">
        <w:rPr>
          <w:rFonts w:hint="eastAsia"/>
        </w:rPr>
        <w:t>OHSAS18001</w:t>
      </w:r>
      <w:r w:rsidRPr="00931B46">
        <w:rPr>
          <w:rFonts w:hint="eastAsia"/>
        </w:rPr>
        <w:t>职业健康安全管理体系认</w:t>
      </w:r>
      <w:r>
        <w:rPr>
          <w:rFonts w:hint="eastAsia"/>
        </w:rPr>
        <w:t>证证书，提供以上证书复印件加盖制造商公章；且认证需在有效期内。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hint="eastAsia"/>
        </w:rPr>
        <w:t>2.</w:t>
      </w:r>
      <w:r w:rsidRPr="00931B4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投标人需提供制造商的授权证明.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</w:t>
      </w:r>
      <w:r w:rsidRPr="00931B4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投标人需提供制造商的辐射安全许可证；且认证需在有效期内.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4.</w:t>
      </w:r>
      <w:r w:rsidRPr="00931B4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投标人需提供制造商的AAA信用等级证书；且认证需在有效期内.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hint="eastAsia"/>
        </w:rPr>
        <w:t>5.</w:t>
      </w:r>
      <w:r w:rsidRPr="00931B4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投标人需提供制造商的高新证书复印件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加盖鲜章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6.</w:t>
      </w:r>
      <w:r w:rsidRPr="00931B4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投标产品应具备CE认证、FCC认证、ROHS认证，并提供佐证材料加盖鲜章；且认证需在有效期内。</w:t>
      </w:r>
    </w:p>
    <w:p w:rsidR="004B1CB0" w:rsidRDefault="004B1CB0" w:rsidP="004B1CB0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C67D7" w:rsidRPr="004B1CB0" w:rsidRDefault="004C67D7" w:rsidP="004B1CB0">
      <w:bookmarkStart w:id="3" w:name="_GoBack"/>
      <w:bookmarkEnd w:id="3"/>
    </w:p>
    <w:sectPr w:rsidR="004C67D7" w:rsidRPr="004B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9"/>
    <w:rsid w:val="004B1CB0"/>
    <w:rsid w:val="004C67D7"/>
    <w:rsid w:val="005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B1CB0"/>
    <w:pPr>
      <w:spacing w:beforeLines="50" w:afterLines="50" w:after="120" w:line="360" w:lineRule="auto"/>
      <w:ind w:firstLineChars="236" w:firstLine="566"/>
    </w:pPr>
    <w:rPr>
      <w:rFonts w:ascii="Times New Roman" w:hAnsi="Times New Roman" w:cs="Times New Roman"/>
      <w:kern w:val="0"/>
      <w:sz w:val="20"/>
    </w:rPr>
  </w:style>
  <w:style w:type="character" w:customStyle="1" w:styleId="Char">
    <w:name w:val="正文文本 Char"/>
    <w:basedOn w:val="a0"/>
    <w:link w:val="a3"/>
    <w:rsid w:val="004B1CB0"/>
    <w:rPr>
      <w:rFonts w:ascii="Times New Roman" w:hAnsi="Times New Roman" w:cs="Times New Roman"/>
      <w:kern w:val="0"/>
      <w:sz w:val="20"/>
    </w:rPr>
  </w:style>
  <w:style w:type="character" w:customStyle="1" w:styleId="font11">
    <w:name w:val="font11"/>
    <w:basedOn w:val="a0"/>
    <w:autoRedefine/>
    <w:qFormat/>
    <w:rsid w:val="004B1CB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B1CB0"/>
    <w:pPr>
      <w:spacing w:beforeLines="50" w:afterLines="50" w:after="120" w:line="360" w:lineRule="auto"/>
      <w:ind w:firstLineChars="236" w:firstLine="566"/>
    </w:pPr>
    <w:rPr>
      <w:rFonts w:ascii="Times New Roman" w:hAnsi="Times New Roman" w:cs="Times New Roman"/>
      <w:kern w:val="0"/>
      <w:sz w:val="20"/>
    </w:rPr>
  </w:style>
  <w:style w:type="character" w:customStyle="1" w:styleId="Char">
    <w:name w:val="正文文本 Char"/>
    <w:basedOn w:val="a0"/>
    <w:link w:val="a3"/>
    <w:rsid w:val="004B1CB0"/>
    <w:rPr>
      <w:rFonts w:ascii="Times New Roman" w:hAnsi="Times New Roman" w:cs="Times New Roman"/>
      <w:kern w:val="0"/>
      <w:sz w:val="20"/>
    </w:rPr>
  </w:style>
  <w:style w:type="character" w:customStyle="1" w:styleId="font11">
    <w:name w:val="font11"/>
    <w:basedOn w:val="a0"/>
    <w:autoRedefine/>
    <w:qFormat/>
    <w:rsid w:val="004B1CB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2024-05-07T09:54:00Z</dcterms:created>
  <dcterms:modified xsi:type="dcterms:W3CDTF">2024-05-07T09:56:00Z</dcterms:modified>
</cp:coreProperties>
</file>