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669" w:rsidRDefault="00296669" w:rsidP="00296669">
      <w:pPr>
        <w:tabs>
          <w:tab w:val="left" w:pos="5220"/>
        </w:tabs>
        <w:spacing w:line="400" w:lineRule="exact"/>
        <w:rPr>
          <w:rStyle w:val="NormalCharacter"/>
          <w:rFonts w:ascii="新宋体" w:eastAsia="新宋体" w:hAnsi="新宋体" w:cs="新宋体"/>
          <w:b/>
          <w:sz w:val="32"/>
          <w:szCs w:val="32"/>
        </w:rPr>
      </w:pPr>
      <w:r w:rsidRPr="001F4A42">
        <w:rPr>
          <w:rStyle w:val="NormalCharacter"/>
          <w:rFonts w:ascii="新宋体" w:eastAsia="新宋体" w:hAnsi="新宋体" w:cs="新宋体" w:hint="eastAsia"/>
          <w:b/>
          <w:sz w:val="32"/>
          <w:szCs w:val="32"/>
        </w:rPr>
        <w:t>附件1：</w:t>
      </w:r>
    </w:p>
    <w:p w:rsidR="00296669" w:rsidRPr="00222B8B" w:rsidRDefault="00296669" w:rsidP="00296669">
      <w:pPr>
        <w:jc w:val="center"/>
        <w:rPr>
          <w:b/>
          <w:sz w:val="22"/>
          <w:szCs w:val="36"/>
        </w:rPr>
      </w:pPr>
      <w:r w:rsidRPr="00222B8B">
        <w:rPr>
          <w:rFonts w:hint="eastAsia"/>
          <w:b/>
          <w:sz w:val="22"/>
          <w:szCs w:val="36"/>
        </w:rPr>
        <w:t>全自动化学发光免疫分析仪</w:t>
      </w:r>
    </w:p>
    <w:p w:rsidR="00296669" w:rsidRPr="00222B8B" w:rsidRDefault="00296669" w:rsidP="00296669">
      <w:pPr>
        <w:rPr>
          <w:sz w:val="22"/>
          <w:szCs w:val="36"/>
        </w:rPr>
      </w:pPr>
      <w:r w:rsidRPr="00222B8B">
        <w:rPr>
          <w:rFonts w:hint="eastAsia"/>
          <w:sz w:val="22"/>
          <w:szCs w:val="36"/>
        </w:rPr>
        <w:t>1</w:t>
      </w:r>
      <w:r w:rsidRPr="00222B8B">
        <w:rPr>
          <w:rFonts w:hint="eastAsia"/>
          <w:sz w:val="22"/>
          <w:szCs w:val="36"/>
        </w:rPr>
        <w:t>、检测方法：基于</w:t>
      </w:r>
      <w:r w:rsidRPr="00222B8B">
        <w:rPr>
          <w:rFonts w:hint="eastAsia"/>
          <w:sz w:val="22"/>
          <w:szCs w:val="36"/>
        </w:rPr>
        <w:t xml:space="preserve"> AMPPD </w:t>
      </w:r>
      <w:r w:rsidRPr="00222B8B">
        <w:rPr>
          <w:rFonts w:hint="eastAsia"/>
          <w:sz w:val="22"/>
          <w:szCs w:val="36"/>
        </w:rPr>
        <w:t>和碱性磷酸酶</w:t>
      </w:r>
      <w:proofErr w:type="gramStart"/>
      <w:r w:rsidRPr="00222B8B">
        <w:rPr>
          <w:rFonts w:hint="eastAsia"/>
          <w:sz w:val="22"/>
          <w:szCs w:val="36"/>
        </w:rPr>
        <w:t>的问接化学发光</w:t>
      </w:r>
      <w:proofErr w:type="gramEnd"/>
      <w:r w:rsidRPr="00222B8B">
        <w:rPr>
          <w:rFonts w:hint="eastAsia"/>
          <w:sz w:val="22"/>
          <w:szCs w:val="36"/>
        </w:rPr>
        <w:t>法</w:t>
      </w:r>
    </w:p>
    <w:p w:rsidR="00296669" w:rsidRPr="00222B8B" w:rsidRDefault="00296669" w:rsidP="00296669">
      <w:pPr>
        <w:rPr>
          <w:sz w:val="22"/>
          <w:szCs w:val="36"/>
        </w:rPr>
      </w:pPr>
      <w:r w:rsidRPr="00222B8B">
        <w:rPr>
          <w:rFonts w:hint="eastAsia"/>
          <w:sz w:val="22"/>
          <w:szCs w:val="36"/>
        </w:rPr>
        <w:t>2</w:t>
      </w:r>
      <w:r w:rsidRPr="00222B8B">
        <w:rPr>
          <w:rFonts w:hint="eastAsia"/>
          <w:sz w:val="22"/>
          <w:szCs w:val="36"/>
        </w:rPr>
        <w:t>、自动化程度：全自动</w:t>
      </w:r>
    </w:p>
    <w:p w:rsidR="00296669" w:rsidRPr="00222B8B" w:rsidRDefault="00296669" w:rsidP="00296669">
      <w:pPr>
        <w:rPr>
          <w:sz w:val="22"/>
          <w:szCs w:val="36"/>
        </w:rPr>
      </w:pPr>
      <w:r w:rsidRPr="00222B8B">
        <w:rPr>
          <w:rFonts w:hint="eastAsia"/>
          <w:sz w:val="22"/>
          <w:szCs w:val="36"/>
        </w:rPr>
        <w:t>了、样本类型：人体的血清、血浆样本</w:t>
      </w:r>
    </w:p>
    <w:p w:rsidR="00296669" w:rsidRPr="00222B8B" w:rsidRDefault="00296669" w:rsidP="00296669">
      <w:pPr>
        <w:rPr>
          <w:sz w:val="22"/>
          <w:szCs w:val="36"/>
        </w:rPr>
      </w:pPr>
      <w:r w:rsidRPr="00222B8B">
        <w:rPr>
          <w:rFonts w:hint="eastAsia"/>
          <w:sz w:val="22"/>
          <w:szCs w:val="36"/>
        </w:rPr>
        <w:t>4</w:t>
      </w:r>
      <w:r w:rsidRPr="00222B8B">
        <w:rPr>
          <w:rFonts w:hint="eastAsia"/>
          <w:sz w:val="22"/>
          <w:szCs w:val="36"/>
        </w:rPr>
        <w:t>、可开展项目：环</w:t>
      </w:r>
      <w:proofErr w:type="gramStart"/>
      <w:r w:rsidRPr="00222B8B">
        <w:rPr>
          <w:rFonts w:hint="eastAsia"/>
          <w:sz w:val="22"/>
          <w:szCs w:val="36"/>
        </w:rPr>
        <w:t>孢</w:t>
      </w:r>
      <w:proofErr w:type="gramEnd"/>
      <w:r w:rsidRPr="00222B8B">
        <w:rPr>
          <w:rFonts w:hint="eastAsia"/>
          <w:sz w:val="22"/>
          <w:szCs w:val="36"/>
        </w:rPr>
        <w:t>霉素、他</w:t>
      </w:r>
      <w:proofErr w:type="gramStart"/>
      <w:r w:rsidRPr="00222B8B">
        <w:rPr>
          <w:rFonts w:hint="eastAsia"/>
          <w:sz w:val="22"/>
          <w:szCs w:val="36"/>
        </w:rPr>
        <w:t>克莫司</w:t>
      </w:r>
      <w:proofErr w:type="gramEnd"/>
      <w:r w:rsidRPr="00222B8B">
        <w:rPr>
          <w:rFonts w:hint="eastAsia"/>
          <w:sz w:val="22"/>
          <w:szCs w:val="36"/>
        </w:rPr>
        <w:t>、霉酚酸、</w:t>
      </w:r>
      <w:proofErr w:type="gramStart"/>
      <w:r w:rsidRPr="00222B8B">
        <w:rPr>
          <w:rFonts w:hint="eastAsia"/>
          <w:sz w:val="22"/>
          <w:szCs w:val="36"/>
        </w:rPr>
        <w:t>丙戊</w:t>
      </w:r>
      <w:proofErr w:type="gramEnd"/>
      <w:r w:rsidRPr="00222B8B">
        <w:rPr>
          <w:rFonts w:hint="eastAsia"/>
          <w:sz w:val="22"/>
          <w:szCs w:val="36"/>
        </w:rPr>
        <w:t>酸钠、卡马西平、苯妥英钠、总</w:t>
      </w:r>
      <w:proofErr w:type="gramStart"/>
      <w:r w:rsidRPr="00222B8B">
        <w:rPr>
          <w:rFonts w:hint="eastAsia"/>
          <w:sz w:val="22"/>
          <w:szCs w:val="36"/>
        </w:rPr>
        <w:t>总利培酮</w:t>
      </w:r>
      <w:proofErr w:type="gramEnd"/>
      <w:r w:rsidRPr="00222B8B">
        <w:rPr>
          <w:rFonts w:hint="eastAsia"/>
          <w:sz w:val="22"/>
          <w:szCs w:val="36"/>
        </w:rPr>
        <w:t>、万古霉素、利奈</w:t>
      </w:r>
      <w:proofErr w:type="gramStart"/>
      <w:r w:rsidRPr="00222B8B">
        <w:rPr>
          <w:rFonts w:hint="eastAsia"/>
          <w:sz w:val="22"/>
          <w:szCs w:val="36"/>
        </w:rPr>
        <w:t>唑</w:t>
      </w:r>
      <w:proofErr w:type="gramEnd"/>
      <w:r w:rsidRPr="00222B8B">
        <w:rPr>
          <w:rFonts w:hint="eastAsia"/>
          <w:sz w:val="22"/>
          <w:szCs w:val="36"/>
        </w:rPr>
        <w:t>肢、</w:t>
      </w:r>
      <w:proofErr w:type="gramStart"/>
      <w:r w:rsidRPr="00222B8B">
        <w:rPr>
          <w:rFonts w:hint="eastAsia"/>
          <w:sz w:val="22"/>
          <w:szCs w:val="36"/>
        </w:rPr>
        <w:t>伏立康唑</w:t>
      </w:r>
      <w:proofErr w:type="gramEnd"/>
      <w:r w:rsidRPr="00222B8B">
        <w:rPr>
          <w:rFonts w:hint="eastAsia"/>
          <w:sz w:val="22"/>
          <w:szCs w:val="36"/>
        </w:rPr>
        <w:t>、地高辛、</w:t>
      </w:r>
      <w:proofErr w:type="gramStart"/>
      <w:r w:rsidRPr="00222B8B">
        <w:rPr>
          <w:rFonts w:hint="eastAsia"/>
          <w:sz w:val="22"/>
          <w:szCs w:val="36"/>
        </w:rPr>
        <w:t>甲氦蝶呤、五氟</w:t>
      </w:r>
      <w:proofErr w:type="gramEnd"/>
      <w:r w:rsidRPr="00222B8B">
        <w:rPr>
          <w:rFonts w:hint="eastAsia"/>
          <w:sz w:val="22"/>
          <w:szCs w:val="36"/>
        </w:rPr>
        <w:t>尿嘧啶、紫杉醇等</w:t>
      </w:r>
    </w:p>
    <w:p w:rsidR="00296669" w:rsidRPr="00222B8B" w:rsidRDefault="00296669" w:rsidP="00296669">
      <w:pPr>
        <w:rPr>
          <w:sz w:val="22"/>
          <w:szCs w:val="36"/>
        </w:rPr>
      </w:pPr>
      <w:r w:rsidRPr="00222B8B">
        <w:rPr>
          <w:rFonts w:hint="eastAsia"/>
          <w:sz w:val="22"/>
          <w:szCs w:val="36"/>
        </w:rPr>
        <w:t>5</w:t>
      </w:r>
      <w:r w:rsidRPr="00222B8B">
        <w:rPr>
          <w:rFonts w:hint="eastAsia"/>
          <w:sz w:val="22"/>
          <w:szCs w:val="36"/>
        </w:rPr>
        <w:t>、检测通量：测试速度最大可达</w:t>
      </w:r>
      <w:r w:rsidRPr="00222B8B">
        <w:rPr>
          <w:rFonts w:hint="eastAsia"/>
          <w:sz w:val="22"/>
          <w:szCs w:val="36"/>
        </w:rPr>
        <w:t xml:space="preserve"> 200 </w:t>
      </w:r>
      <w:r w:rsidRPr="00222B8B">
        <w:rPr>
          <w:rFonts w:hint="eastAsia"/>
          <w:sz w:val="22"/>
          <w:szCs w:val="36"/>
        </w:rPr>
        <w:t>项</w:t>
      </w:r>
      <w:r w:rsidRPr="00222B8B">
        <w:rPr>
          <w:rFonts w:hint="eastAsia"/>
          <w:sz w:val="22"/>
          <w:szCs w:val="36"/>
        </w:rPr>
        <w:t>/</w:t>
      </w:r>
      <w:r w:rsidRPr="00222B8B">
        <w:rPr>
          <w:rFonts w:hint="eastAsia"/>
          <w:sz w:val="22"/>
          <w:szCs w:val="36"/>
        </w:rPr>
        <w:t>小时</w:t>
      </w:r>
    </w:p>
    <w:p w:rsidR="00296669" w:rsidRPr="00222B8B" w:rsidRDefault="00296669" w:rsidP="00296669">
      <w:pPr>
        <w:rPr>
          <w:sz w:val="22"/>
          <w:szCs w:val="36"/>
        </w:rPr>
      </w:pPr>
      <w:r w:rsidRPr="00222B8B">
        <w:rPr>
          <w:rFonts w:hint="eastAsia"/>
          <w:sz w:val="22"/>
          <w:szCs w:val="36"/>
        </w:rPr>
        <w:t>6</w:t>
      </w:r>
      <w:r w:rsidRPr="00222B8B">
        <w:rPr>
          <w:rFonts w:hint="eastAsia"/>
          <w:sz w:val="22"/>
          <w:szCs w:val="36"/>
        </w:rPr>
        <w:t>、出第一结果时间：≤</w:t>
      </w:r>
      <w:r w:rsidRPr="00222B8B">
        <w:rPr>
          <w:rFonts w:hint="eastAsia"/>
          <w:sz w:val="22"/>
          <w:szCs w:val="36"/>
        </w:rPr>
        <w:t>15min</w:t>
      </w:r>
    </w:p>
    <w:p w:rsidR="00296669" w:rsidRPr="00222B8B" w:rsidRDefault="00296669" w:rsidP="00296669">
      <w:pPr>
        <w:rPr>
          <w:sz w:val="22"/>
          <w:szCs w:val="36"/>
        </w:rPr>
      </w:pPr>
      <w:r w:rsidRPr="00222B8B">
        <w:rPr>
          <w:rFonts w:hint="eastAsia"/>
          <w:sz w:val="22"/>
          <w:szCs w:val="36"/>
        </w:rPr>
        <w:t>了、样本位：</w:t>
      </w:r>
      <w:r w:rsidRPr="00222B8B">
        <w:rPr>
          <w:rFonts w:hint="eastAsia"/>
          <w:sz w:val="22"/>
          <w:szCs w:val="36"/>
        </w:rPr>
        <w:t xml:space="preserve">60 </w:t>
      </w:r>
      <w:proofErr w:type="gramStart"/>
      <w:r w:rsidRPr="00222B8B">
        <w:rPr>
          <w:rFonts w:hint="eastAsia"/>
          <w:sz w:val="22"/>
          <w:szCs w:val="36"/>
        </w:rPr>
        <w:t>个</w:t>
      </w:r>
      <w:proofErr w:type="gramEnd"/>
      <w:r w:rsidRPr="00222B8B">
        <w:rPr>
          <w:rFonts w:hint="eastAsia"/>
          <w:sz w:val="22"/>
          <w:szCs w:val="36"/>
        </w:rPr>
        <w:t>或以上，盘式系统连续进样，可随时添加样本</w:t>
      </w:r>
    </w:p>
    <w:p w:rsidR="00296669" w:rsidRPr="00222B8B" w:rsidRDefault="00296669" w:rsidP="00296669">
      <w:pPr>
        <w:rPr>
          <w:sz w:val="22"/>
          <w:szCs w:val="36"/>
        </w:rPr>
      </w:pPr>
      <w:r w:rsidRPr="00222B8B">
        <w:rPr>
          <w:rFonts w:hint="eastAsia"/>
          <w:sz w:val="22"/>
          <w:szCs w:val="36"/>
        </w:rPr>
        <w:t>8</w:t>
      </w:r>
      <w:r w:rsidRPr="00222B8B">
        <w:rPr>
          <w:rFonts w:hint="eastAsia"/>
          <w:sz w:val="22"/>
          <w:szCs w:val="36"/>
        </w:rPr>
        <w:t>、试剂位：</w:t>
      </w:r>
      <w:r w:rsidRPr="00222B8B">
        <w:rPr>
          <w:rFonts w:hint="eastAsia"/>
          <w:sz w:val="22"/>
          <w:szCs w:val="36"/>
        </w:rPr>
        <w:t xml:space="preserve">25 </w:t>
      </w:r>
      <w:proofErr w:type="gramStart"/>
      <w:r w:rsidRPr="00222B8B">
        <w:rPr>
          <w:rFonts w:hint="eastAsia"/>
          <w:sz w:val="22"/>
          <w:szCs w:val="36"/>
        </w:rPr>
        <w:t>个</w:t>
      </w:r>
      <w:proofErr w:type="gramEnd"/>
      <w:r w:rsidRPr="00222B8B">
        <w:rPr>
          <w:rFonts w:hint="eastAsia"/>
          <w:sz w:val="22"/>
          <w:szCs w:val="36"/>
        </w:rPr>
        <w:t>或以上</w:t>
      </w:r>
    </w:p>
    <w:p w:rsidR="00296669" w:rsidRPr="00222B8B" w:rsidRDefault="00296669" w:rsidP="00296669">
      <w:pPr>
        <w:rPr>
          <w:sz w:val="22"/>
          <w:szCs w:val="36"/>
        </w:rPr>
      </w:pPr>
      <w:r w:rsidRPr="00222B8B">
        <w:rPr>
          <w:rFonts w:hint="eastAsia"/>
          <w:sz w:val="22"/>
          <w:szCs w:val="36"/>
        </w:rPr>
        <w:t>9</w:t>
      </w:r>
      <w:r w:rsidRPr="00222B8B">
        <w:rPr>
          <w:rFonts w:hint="eastAsia"/>
          <w:sz w:val="22"/>
          <w:szCs w:val="36"/>
        </w:rPr>
        <w:t>、定标类型：</w:t>
      </w:r>
      <w:r w:rsidRPr="00222B8B">
        <w:rPr>
          <w:rFonts w:hint="eastAsia"/>
          <w:sz w:val="22"/>
          <w:szCs w:val="36"/>
        </w:rPr>
        <w:t xml:space="preserve">2 </w:t>
      </w:r>
      <w:r w:rsidRPr="00222B8B">
        <w:rPr>
          <w:rFonts w:hint="eastAsia"/>
          <w:sz w:val="22"/>
          <w:szCs w:val="36"/>
        </w:rPr>
        <w:t>点或</w:t>
      </w:r>
      <w:r w:rsidRPr="00222B8B">
        <w:rPr>
          <w:rFonts w:hint="eastAsia"/>
          <w:sz w:val="22"/>
          <w:szCs w:val="36"/>
        </w:rPr>
        <w:t>3</w:t>
      </w:r>
      <w:r w:rsidRPr="00222B8B">
        <w:rPr>
          <w:rFonts w:hint="eastAsia"/>
          <w:sz w:val="22"/>
          <w:szCs w:val="36"/>
        </w:rPr>
        <w:t>点定标（根据项目不同）</w:t>
      </w:r>
    </w:p>
    <w:p w:rsidR="00296669" w:rsidRPr="00222B8B" w:rsidRDefault="00296669" w:rsidP="00296669">
      <w:pPr>
        <w:rPr>
          <w:sz w:val="22"/>
          <w:szCs w:val="36"/>
        </w:rPr>
      </w:pPr>
      <w:r w:rsidRPr="00222B8B">
        <w:rPr>
          <w:rFonts w:hint="eastAsia"/>
          <w:sz w:val="22"/>
          <w:szCs w:val="36"/>
        </w:rPr>
        <w:t>10</w:t>
      </w:r>
      <w:r w:rsidRPr="00222B8B">
        <w:rPr>
          <w:rFonts w:hint="eastAsia"/>
          <w:sz w:val="22"/>
          <w:szCs w:val="36"/>
        </w:rPr>
        <w:t>、试剂冷藏：</w:t>
      </w:r>
      <w:r w:rsidRPr="00222B8B">
        <w:rPr>
          <w:rFonts w:hint="eastAsia"/>
          <w:sz w:val="22"/>
          <w:szCs w:val="36"/>
        </w:rPr>
        <w:t xml:space="preserve">24 </w:t>
      </w:r>
      <w:r w:rsidRPr="00222B8B">
        <w:rPr>
          <w:rFonts w:hint="eastAsia"/>
          <w:sz w:val="22"/>
          <w:szCs w:val="36"/>
        </w:rPr>
        <w:t>小时不间断冷藏，试剂减冷藏温度</w:t>
      </w:r>
      <w:r w:rsidRPr="00222B8B">
        <w:rPr>
          <w:rFonts w:hint="eastAsia"/>
          <w:sz w:val="22"/>
          <w:szCs w:val="36"/>
        </w:rPr>
        <w:t xml:space="preserve"> 2~8</w:t>
      </w:r>
      <w:r w:rsidRPr="00222B8B">
        <w:rPr>
          <w:rFonts w:hint="eastAsia"/>
          <w:sz w:val="22"/>
          <w:szCs w:val="36"/>
        </w:rPr>
        <w:t>°</w:t>
      </w:r>
      <w:r w:rsidRPr="00222B8B">
        <w:rPr>
          <w:rFonts w:hint="eastAsia"/>
          <w:sz w:val="22"/>
          <w:szCs w:val="36"/>
        </w:rPr>
        <w:t>C</w:t>
      </w:r>
    </w:p>
    <w:p w:rsidR="00296669" w:rsidRPr="00222B8B" w:rsidRDefault="00296669" w:rsidP="00296669">
      <w:pPr>
        <w:rPr>
          <w:sz w:val="22"/>
          <w:szCs w:val="36"/>
        </w:rPr>
      </w:pPr>
      <w:r w:rsidRPr="00222B8B">
        <w:rPr>
          <w:rFonts w:hint="eastAsia"/>
          <w:sz w:val="22"/>
          <w:szCs w:val="36"/>
        </w:rPr>
        <w:t>11</w:t>
      </w:r>
      <w:r w:rsidRPr="00222B8B">
        <w:rPr>
          <w:rFonts w:hint="eastAsia"/>
          <w:sz w:val="22"/>
          <w:szCs w:val="36"/>
        </w:rPr>
        <w:t>、</w:t>
      </w:r>
      <w:proofErr w:type="gramStart"/>
      <w:r w:rsidRPr="00222B8B">
        <w:rPr>
          <w:rFonts w:hint="eastAsia"/>
          <w:sz w:val="22"/>
          <w:szCs w:val="36"/>
        </w:rPr>
        <w:t>批内重复性</w:t>
      </w:r>
      <w:proofErr w:type="gramEnd"/>
      <w:r w:rsidRPr="00222B8B">
        <w:rPr>
          <w:rFonts w:hint="eastAsia"/>
          <w:sz w:val="22"/>
          <w:szCs w:val="36"/>
        </w:rPr>
        <w:t>：</w:t>
      </w:r>
      <w:r w:rsidRPr="00222B8B">
        <w:rPr>
          <w:rFonts w:hint="eastAsia"/>
          <w:sz w:val="22"/>
          <w:szCs w:val="36"/>
        </w:rPr>
        <w:t xml:space="preserve">CV </w:t>
      </w:r>
      <w:r w:rsidRPr="00222B8B">
        <w:rPr>
          <w:rFonts w:hint="eastAsia"/>
          <w:sz w:val="22"/>
          <w:szCs w:val="36"/>
        </w:rPr>
        <w:t>≤</w:t>
      </w:r>
      <w:r w:rsidRPr="00222B8B">
        <w:rPr>
          <w:rFonts w:hint="eastAsia"/>
          <w:sz w:val="22"/>
          <w:szCs w:val="36"/>
        </w:rPr>
        <w:t>5%</w:t>
      </w:r>
    </w:p>
    <w:p w:rsidR="00296669" w:rsidRPr="00222B8B" w:rsidRDefault="00296669" w:rsidP="00296669">
      <w:pPr>
        <w:rPr>
          <w:sz w:val="22"/>
          <w:szCs w:val="36"/>
        </w:rPr>
      </w:pPr>
      <w:r w:rsidRPr="00222B8B">
        <w:rPr>
          <w:rFonts w:hint="eastAsia"/>
          <w:sz w:val="22"/>
          <w:szCs w:val="36"/>
        </w:rPr>
        <w:t>12</w:t>
      </w:r>
      <w:r w:rsidRPr="00222B8B">
        <w:rPr>
          <w:rFonts w:hint="eastAsia"/>
          <w:sz w:val="22"/>
          <w:szCs w:val="36"/>
        </w:rPr>
        <w:t>、稳定性：分析仪开机处于稳定工作状态后第</w:t>
      </w:r>
      <w:r w:rsidRPr="00222B8B">
        <w:rPr>
          <w:rFonts w:hint="eastAsia"/>
          <w:sz w:val="22"/>
          <w:szCs w:val="36"/>
        </w:rPr>
        <w:t xml:space="preserve"> 4h</w:t>
      </w:r>
      <w:r w:rsidRPr="00222B8B">
        <w:rPr>
          <w:rFonts w:hint="eastAsia"/>
          <w:sz w:val="22"/>
          <w:szCs w:val="36"/>
        </w:rPr>
        <w:t>、第</w:t>
      </w:r>
      <w:r w:rsidRPr="00222B8B">
        <w:rPr>
          <w:rFonts w:hint="eastAsia"/>
          <w:sz w:val="22"/>
          <w:szCs w:val="36"/>
        </w:rPr>
        <w:t>8h</w:t>
      </w:r>
      <w:r w:rsidRPr="00222B8B">
        <w:rPr>
          <w:rFonts w:hint="eastAsia"/>
          <w:sz w:val="22"/>
          <w:szCs w:val="36"/>
        </w:rPr>
        <w:t>的测试结果与处于稳定工作状态初始时的测试结果的相对偏倚不超过正负</w:t>
      </w:r>
      <w:r w:rsidRPr="00222B8B">
        <w:rPr>
          <w:rFonts w:hint="eastAsia"/>
          <w:sz w:val="22"/>
          <w:szCs w:val="36"/>
        </w:rPr>
        <w:t>10%</w:t>
      </w:r>
    </w:p>
    <w:p w:rsidR="00296669" w:rsidRPr="00222B8B" w:rsidRDefault="00296669" w:rsidP="00296669">
      <w:pPr>
        <w:rPr>
          <w:sz w:val="22"/>
          <w:szCs w:val="36"/>
        </w:rPr>
      </w:pPr>
      <w:r w:rsidRPr="00222B8B">
        <w:rPr>
          <w:rFonts w:hint="eastAsia"/>
          <w:sz w:val="22"/>
          <w:szCs w:val="36"/>
        </w:rPr>
        <w:t>13</w:t>
      </w:r>
      <w:r w:rsidRPr="00222B8B">
        <w:rPr>
          <w:rFonts w:hint="eastAsia"/>
          <w:sz w:val="22"/>
          <w:szCs w:val="36"/>
        </w:rPr>
        <w:t>、线性相关性：≥</w:t>
      </w:r>
      <w:r w:rsidRPr="00222B8B">
        <w:rPr>
          <w:rFonts w:hint="eastAsia"/>
          <w:sz w:val="22"/>
          <w:szCs w:val="36"/>
        </w:rPr>
        <w:t>0.99</w:t>
      </w:r>
      <w:r w:rsidRPr="00222B8B">
        <w:rPr>
          <w:rFonts w:hint="eastAsia"/>
          <w:sz w:val="22"/>
          <w:szCs w:val="36"/>
        </w:rPr>
        <w:t>，浓度范围不小于</w:t>
      </w:r>
      <w:r w:rsidRPr="00222B8B">
        <w:rPr>
          <w:rFonts w:hint="eastAsia"/>
          <w:sz w:val="22"/>
          <w:szCs w:val="36"/>
        </w:rPr>
        <w:t>3</w:t>
      </w:r>
      <w:r w:rsidRPr="00222B8B">
        <w:rPr>
          <w:rFonts w:hint="eastAsia"/>
          <w:sz w:val="22"/>
          <w:szCs w:val="36"/>
        </w:rPr>
        <w:t>个</w:t>
      </w:r>
      <w:proofErr w:type="gramStart"/>
      <w:r w:rsidRPr="00222B8B">
        <w:rPr>
          <w:rFonts w:hint="eastAsia"/>
          <w:sz w:val="22"/>
          <w:szCs w:val="36"/>
        </w:rPr>
        <w:t>发光值</w:t>
      </w:r>
      <w:proofErr w:type="gramEnd"/>
      <w:r w:rsidRPr="00222B8B">
        <w:rPr>
          <w:rFonts w:hint="eastAsia"/>
          <w:sz w:val="22"/>
          <w:szCs w:val="36"/>
        </w:rPr>
        <w:t>数量级</w:t>
      </w:r>
    </w:p>
    <w:p w:rsidR="00296669" w:rsidRPr="00222B8B" w:rsidRDefault="00296669" w:rsidP="00296669">
      <w:pPr>
        <w:rPr>
          <w:sz w:val="22"/>
          <w:szCs w:val="36"/>
        </w:rPr>
      </w:pPr>
      <w:r w:rsidRPr="00222B8B">
        <w:rPr>
          <w:rFonts w:hint="eastAsia"/>
          <w:sz w:val="22"/>
          <w:szCs w:val="36"/>
        </w:rPr>
        <w:t>14</w:t>
      </w:r>
      <w:r w:rsidRPr="00222B8B">
        <w:rPr>
          <w:rFonts w:hint="eastAsia"/>
          <w:sz w:val="22"/>
          <w:szCs w:val="36"/>
        </w:rPr>
        <w:t>、支持液面探测功能</w:t>
      </w:r>
    </w:p>
    <w:p w:rsidR="00296669" w:rsidRPr="00222B8B" w:rsidRDefault="00296669" w:rsidP="00296669">
      <w:pPr>
        <w:rPr>
          <w:sz w:val="22"/>
          <w:szCs w:val="36"/>
        </w:rPr>
      </w:pPr>
      <w:r w:rsidRPr="00222B8B">
        <w:rPr>
          <w:rFonts w:hint="eastAsia"/>
          <w:sz w:val="22"/>
          <w:szCs w:val="36"/>
        </w:rPr>
        <w:t>15</w:t>
      </w:r>
      <w:r w:rsidRPr="00222B8B">
        <w:rPr>
          <w:rFonts w:hint="eastAsia"/>
          <w:sz w:val="22"/>
          <w:szCs w:val="36"/>
        </w:rPr>
        <w:t>、网络条件：支持网口通信</w:t>
      </w:r>
    </w:p>
    <w:p w:rsidR="00296669" w:rsidRPr="00222B8B" w:rsidRDefault="00296669" w:rsidP="00296669">
      <w:pPr>
        <w:rPr>
          <w:sz w:val="22"/>
          <w:szCs w:val="36"/>
        </w:rPr>
      </w:pPr>
      <w:r w:rsidRPr="00222B8B">
        <w:rPr>
          <w:rFonts w:hint="eastAsia"/>
          <w:sz w:val="22"/>
          <w:szCs w:val="36"/>
        </w:rPr>
        <w:t>16</w:t>
      </w:r>
      <w:r w:rsidRPr="00222B8B">
        <w:rPr>
          <w:rFonts w:hint="eastAsia"/>
          <w:sz w:val="22"/>
          <w:szCs w:val="36"/>
        </w:rPr>
        <w:t>、安全接口：</w:t>
      </w:r>
      <w:r w:rsidRPr="00222B8B">
        <w:rPr>
          <w:rFonts w:hint="eastAsia"/>
          <w:sz w:val="22"/>
          <w:szCs w:val="36"/>
        </w:rPr>
        <w:t>a)</w:t>
      </w:r>
      <w:r w:rsidRPr="00222B8B">
        <w:rPr>
          <w:rFonts w:hint="eastAsia"/>
          <w:sz w:val="22"/>
          <w:szCs w:val="36"/>
        </w:rPr>
        <w:t>接口：</w:t>
      </w:r>
      <w:r w:rsidRPr="00222B8B">
        <w:rPr>
          <w:rFonts w:hint="eastAsia"/>
          <w:sz w:val="22"/>
          <w:szCs w:val="36"/>
        </w:rPr>
        <w:t xml:space="preserve">USB </w:t>
      </w:r>
      <w:r w:rsidRPr="00222B8B">
        <w:rPr>
          <w:rFonts w:hint="eastAsia"/>
          <w:sz w:val="22"/>
          <w:szCs w:val="36"/>
        </w:rPr>
        <w:t>接口，以太网</w:t>
      </w:r>
      <w:r w:rsidRPr="00222B8B">
        <w:rPr>
          <w:rFonts w:hint="eastAsia"/>
          <w:sz w:val="22"/>
          <w:szCs w:val="36"/>
        </w:rPr>
        <w:t xml:space="preserve"> R45</w:t>
      </w:r>
      <w:r w:rsidRPr="00222B8B">
        <w:rPr>
          <w:rFonts w:hint="eastAsia"/>
          <w:sz w:val="22"/>
          <w:szCs w:val="36"/>
        </w:rPr>
        <w:t>接口</w:t>
      </w:r>
      <w:r w:rsidRPr="00222B8B">
        <w:rPr>
          <w:rFonts w:hint="eastAsia"/>
          <w:sz w:val="22"/>
          <w:szCs w:val="36"/>
        </w:rPr>
        <w:t>;b)</w:t>
      </w:r>
      <w:r w:rsidRPr="00222B8B">
        <w:rPr>
          <w:rFonts w:hint="eastAsia"/>
          <w:sz w:val="22"/>
          <w:szCs w:val="36"/>
        </w:rPr>
        <w:t>协议：</w:t>
      </w:r>
      <w:r w:rsidRPr="00222B8B">
        <w:rPr>
          <w:rFonts w:hint="eastAsia"/>
          <w:sz w:val="22"/>
          <w:szCs w:val="36"/>
        </w:rPr>
        <w:t xml:space="preserve">USB </w:t>
      </w:r>
      <w:r w:rsidRPr="00222B8B">
        <w:rPr>
          <w:rFonts w:hint="eastAsia"/>
          <w:sz w:val="22"/>
          <w:szCs w:val="36"/>
        </w:rPr>
        <w:t>接口用来进行程序升级：</w:t>
      </w:r>
      <w:r w:rsidRPr="00222B8B">
        <w:rPr>
          <w:rFonts w:hint="eastAsia"/>
          <w:sz w:val="22"/>
          <w:szCs w:val="36"/>
        </w:rPr>
        <w:t>c</w:t>
      </w:r>
      <w:r w:rsidRPr="00222B8B">
        <w:rPr>
          <w:rFonts w:hint="eastAsia"/>
          <w:sz w:val="22"/>
          <w:szCs w:val="36"/>
        </w:rPr>
        <w:t>）存储：检测结果存储到</w:t>
      </w:r>
      <w:r w:rsidRPr="00222B8B">
        <w:rPr>
          <w:rFonts w:hint="eastAsia"/>
          <w:sz w:val="22"/>
          <w:szCs w:val="36"/>
        </w:rPr>
        <w:t xml:space="preserve"> </w:t>
      </w:r>
      <w:proofErr w:type="spellStart"/>
      <w:r w:rsidRPr="00222B8B">
        <w:rPr>
          <w:rFonts w:hint="eastAsia"/>
          <w:sz w:val="22"/>
          <w:szCs w:val="36"/>
        </w:rPr>
        <w:t>AssayDB.db</w:t>
      </w:r>
      <w:proofErr w:type="spellEnd"/>
      <w:r w:rsidRPr="00222B8B">
        <w:rPr>
          <w:rFonts w:hint="eastAsia"/>
          <w:sz w:val="22"/>
          <w:szCs w:val="36"/>
        </w:rPr>
        <w:t xml:space="preserve"> </w:t>
      </w:r>
      <w:r w:rsidRPr="00222B8B">
        <w:rPr>
          <w:rFonts w:hint="eastAsia"/>
          <w:sz w:val="22"/>
          <w:szCs w:val="36"/>
        </w:rPr>
        <w:t>文件内</w:t>
      </w:r>
    </w:p>
    <w:p w:rsidR="00296669" w:rsidRPr="00222B8B" w:rsidRDefault="00296669" w:rsidP="00296669">
      <w:pPr>
        <w:rPr>
          <w:sz w:val="22"/>
          <w:szCs w:val="36"/>
        </w:rPr>
      </w:pPr>
      <w:r w:rsidRPr="00222B8B">
        <w:rPr>
          <w:rFonts w:hint="eastAsia"/>
          <w:sz w:val="22"/>
          <w:szCs w:val="36"/>
        </w:rPr>
        <w:t>17</w:t>
      </w:r>
      <w:r w:rsidRPr="00222B8B">
        <w:rPr>
          <w:rFonts w:hint="eastAsia"/>
          <w:sz w:val="22"/>
          <w:szCs w:val="36"/>
        </w:rPr>
        <w:t>、检测结果标准：所检测项目均保证能通过全国治疗药物监测室间质量评价审评。</w:t>
      </w:r>
    </w:p>
    <w:p w:rsidR="00296669" w:rsidRPr="00222B8B" w:rsidRDefault="00296669" w:rsidP="00296669">
      <w:pPr>
        <w:rPr>
          <w:sz w:val="22"/>
          <w:szCs w:val="36"/>
        </w:rPr>
      </w:pPr>
      <w:r w:rsidRPr="00222B8B">
        <w:rPr>
          <w:rFonts w:hint="eastAsia"/>
          <w:sz w:val="22"/>
          <w:szCs w:val="36"/>
        </w:rPr>
        <w:t>18</w:t>
      </w:r>
      <w:r w:rsidRPr="00222B8B">
        <w:rPr>
          <w:rFonts w:hint="eastAsia"/>
          <w:sz w:val="22"/>
          <w:szCs w:val="36"/>
        </w:rPr>
        <w:t>、报告标淮：检测报告可连接院内系统，患者可使用条形码于自动报告打印机打印报告。</w:t>
      </w:r>
    </w:p>
    <w:p w:rsidR="0041651C" w:rsidRPr="00296669" w:rsidRDefault="0041651C">
      <w:bookmarkStart w:id="0" w:name="_GoBack"/>
      <w:bookmarkEnd w:id="0"/>
    </w:p>
    <w:sectPr w:rsidR="0041651C" w:rsidRPr="002966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0E4" w:rsidRDefault="005150E4" w:rsidP="00296669">
      <w:r>
        <w:separator/>
      </w:r>
    </w:p>
  </w:endnote>
  <w:endnote w:type="continuationSeparator" w:id="0">
    <w:p w:rsidR="005150E4" w:rsidRDefault="005150E4" w:rsidP="0029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0E4" w:rsidRDefault="005150E4" w:rsidP="00296669">
      <w:r>
        <w:separator/>
      </w:r>
    </w:p>
  </w:footnote>
  <w:footnote w:type="continuationSeparator" w:id="0">
    <w:p w:rsidR="005150E4" w:rsidRDefault="005150E4" w:rsidP="00296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8D"/>
    <w:rsid w:val="00296669"/>
    <w:rsid w:val="0041651C"/>
    <w:rsid w:val="005150E4"/>
    <w:rsid w:val="00FD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6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6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6669"/>
    <w:rPr>
      <w:sz w:val="18"/>
      <w:szCs w:val="18"/>
    </w:rPr>
  </w:style>
  <w:style w:type="paragraph" w:styleId="a4">
    <w:name w:val="footer"/>
    <w:basedOn w:val="a"/>
    <w:link w:val="Char0"/>
    <w:uiPriority w:val="99"/>
    <w:unhideWhenUsed/>
    <w:rsid w:val="00296669"/>
    <w:pPr>
      <w:tabs>
        <w:tab w:val="center" w:pos="4153"/>
        <w:tab w:val="right" w:pos="8306"/>
      </w:tabs>
      <w:snapToGrid w:val="0"/>
      <w:jc w:val="left"/>
    </w:pPr>
    <w:rPr>
      <w:sz w:val="18"/>
      <w:szCs w:val="18"/>
    </w:rPr>
  </w:style>
  <w:style w:type="character" w:customStyle="1" w:styleId="Char0">
    <w:name w:val="页脚 Char"/>
    <w:basedOn w:val="a0"/>
    <w:link w:val="a4"/>
    <w:uiPriority w:val="99"/>
    <w:rsid w:val="00296669"/>
    <w:rPr>
      <w:sz w:val="18"/>
      <w:szCs w:val="18"/>
    </w:rPr>
  </w:style>
  <w:style w:type="character" w:customStyle="1" w:styleId="NormalCharacter">
    <w:name w:val="NormalCharacter"/>
    <w:qFormat/>
    <w:rsid w:val="00296669"/>
    <w:rPr>
      <w:rFonts w:ascii="Calibri" w:eastAsia="宋体" w:hAnsi="Calibri"/>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6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6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6669"/>
    <w:rPr>
      <w:sz w:val="18"/>
      <w:szCs w:val="18"/>
    </w:rPr>
  </w:style>
  <w:style w:type="paragraph" w:styleId="a4">
    <w:name w:val="footer"/>
    <w:basedOn w:val="a"/>
    <w:link w:val="Char0"/>
    <w:uiPriority w:val="99"/>
    <w:unhideWhenUsed/>
    <w:rsid w:val="00296669"/>
    <w:pPr>
      <w:tabs>
        <w:tab w:val="center" w:pos="4153"/>
        <w:tab w:val="right" w:pos="8306"/>
      </w:tabs>
      <w:snapToGrid w:val="0"/>
      <w:jc w:val="left"/>
    </w:pPr>
    <w:rPr>
      <w:sz w:val="18"/>
      <w:szCs w:val="18"/>
    </w:rPr>
  </w:style>
  <w:style w:type="character" w:customStyle="1" w:styleId="Char0">
    <w:name w:val="页脚 Char"/>
    <w:basedOn w:val="a0"/>
    <w:link w:val="a4"/>
    <w:uiPriority w:val="99"/>
    <w:rsid w:val="00296669"/>
    <w:rPr>
      <w:sz w:val="18"/>
      <w:szCs w:val="18"/>
    </w:rPr>
  </w:style>
  <w:style w:type="character" w:customStyle="1" w:styleId="NormalCharacter">
    <w:name w:val="NormalCharacter"/>
    <w:qFormat/>
    <w:rsid w:val="00296669"/>
    <w:rPr>
      <w:rFonts w:ascii="Calibri" w:eastAsia="宋体" w:hAnsi="Calibri"/>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2024-05-17T09:15:00Z</dcterms:created>
  <dcterms:modified xsi:type="dcterms:W3CDTF">2024-05-17T09:15:00Z</dcterms:modified>
</cp:coreProperties>
</file>