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3D" w:rsidRDefault="00EB7F3D" w:rsidP="00EB7F3D">
      <w:pPr>
        <w:spacing w:line="360" w:lineRule="auto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附件</w:t>
      </w:r>
      <w:r>
        <w:rPr>
          <w:rFonts w:hint="eastAsia"/>
          <w:b/>
          <w:bCs/>
          <w:sz w:val="28"/>
          <w:szCs w:val="24"/>
        </w:rPr>
        <w:t>1</w:t>
      </w:r>
      <w:r>
        <w:rPr>
          <w:rFonts w:hint="eastAsia"/>
          <w:b/>
          <w:bCs/>
          <w:sz w:val="28"/>
          <w:szCs w:val="24"/>
        </w:rPr>
        <w:t>：</w:t>
      </w:r>
      <w:bookmarkStart w:id="0" w:name="_GoBack"/>
      <w:bookmarkEnd w:id="0"/>
    </w:p>
    <w:p w:rsidR="00816DE1" w:rsidRDefault="00EB7F3D" w:rsidP="00EB7F3D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脑</w:t>
      </w:r>
      <w:r w:rsidR="00273605">
        <w:rPr>
          <w:rFonts w:hint="eastAsia"/>
          <w:b/>
          <w:bCs/>
          <w:sz w:val="28"/>
          <w:szCs w:val="24"/>
        </w:rPr>
        <w:t>氧饱和度监测</w:t>
      </w:r>
      <w:r>
        <w:rPr>
          <w:rFonts w:hint="eastAsia"/>
          <w:b/>
          <w:bCs/>
          <w:sz w:val="28"/>
          <w:szCs w:val="24"/>
        </w:rPr>
        <w:t>技术参数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监测脑组织血氧饱和度（</w:t>
      </w:r>
      <w:r>
        <w:rPr>
          <w:sz w:val="24"/>
          <w:szCs w:val="24"/>
        </w:rPr>
        <w:t>rSO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）；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监测信号质量（</w:t>
      </w:r>
      <w:r>
        <w:rPr>
          <w:sz w:val="24"/>
          <w:szCs w:val="24"/>
        </w:rPr>
        <w:t>SQI</w:t>
      </w:r>
      <w:r>
        <w:rPr>
          <w:rFonts w:hint="eastAsia"/>
          <w:sz w:val="24"/>
          <w:szCs w:val="24"/>
        </w:rPr>
        <w:t>），可在</w:t>
      </w:r>
      <w:r>
        <w:rPr>
          <w:rFonts w:hint="eastAsia"/>
          <w:sz w:val="24"/>
          <w:szCs w:val="24"/>
        </w:rPr>
        <w:t>0-</w:t>
      </w:r>
      <w:r>
        <w:rPr>
          <w:sz w:val="24"/>
          <w:szCs w:val="24"/>
        </w:rPr>
        <w:t>4</w:t>
      </w:r>
      <w:r>
        <w:rPr>
          <w:sz w:val="24"/>
          <w:szCs w:val="24"/>
        </w:rPr>
        <w:t>格</w:t>
      </w:r>
      <w:r>
        <w:rPr>
          <w:rFonts w:hint="eastAsia"/>
          <w:sz w:val="24"/>
          <w:szCs w:val="24"/>
        </w:rPr>
        <w:t>之间</w:t>
      </w:r>
      <w:r>
        <w:rPr>
          <w:sz w:val="24"/>
          <w:szCs w:val="24"/>
        </w:rPr>
        <w:t>指示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可显示</w:t>
      </w:r>
      <w:proofErr w:type="gramStart"/>
      <w:r>
        <w:rPr>
          <w:rFonts w:hint="eastAsia"/>
          <w:sz w:val="24"/>
          <w:szCs w:val="24"/>
        </w:rPr>
        <w:t>及设置</w:t>
      </w:r>
      <w:proofErr w:type="gramEnd"/>
      <w:r>
        <w:rPr>
          <w:rFonts w:hint="eastAsia"/>
          <w:sz w:val="24"/>
          <w:szCs w:val="24"/>
        </w:rPr>
        <w:t>基线值（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BL</m:t>
        </m:r>
      </m:oMath>
      <w:r>
        <w:rPr>
          <w:rFonts w:hint="eastAsia"/>
          <w:sz w:val="24"/>
          <w:szCs w:val="24"/>
        </w:rPr>
        <w:t>），并实时计算相对基线值的变化量（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∆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BL</m:t>
        </m:r>
      </m:oMath>
      <w:r>
        <w:rPr>
          <w:rFonts w:hint="eastAsia"/>
          <w:sz w:val="24"/>
          <w:szCs w:val="24"/>
        </w:rPr>
        <w:t>）；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监测脑组织中氧合血红蛋白浓度相对测量初始值的变化量（Δ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Hb</w:t>
      </w:r>
      <w:r>
        <w:rPr>
          <w:rFonts w:hint="eastAsia"/>
          <w:sz w:val="24"/>
          <w:szCs w:val="24"/>
        </w:rPr>
        <w:t>），测量范围为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100</w:t>
      </w:r>
      <w:r>
        <w:rPr>
          <w:rFonts w:ascii="微软雅黑" w:eastAsia="微软雅黑" w:hAnsi="微软雅黑" w:hint="eastAsia"/>
          <w:sz w:val="24"/>
          <w:szCs w:val="24"/>
        </w:rPr>
        <w:t>~</w:t>
      </w:r>
      <w:r>
        <w:rPr>
          <w:rFonts w:ascii="微软雅黑" w:eastAsia="微软雅黑" w:hAnsi="微软雅黑"/>
          <w:sz w:val="24"/>
          <w:szCs w:val="24"/>
        </w:rPr>
        <w:t>100μmol/L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监测脑组织中还原血红蛋白浓度相对测量初始值的变化量（Δ</w:t>
      </w:r>
      <w:proofErr w:type="spellStart"/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Hb</w:t>
      </w:r>
      <w:proofErr w:type="spellEnd"/>
      <w:r>
        <w:rPr>
          <w:rFonts w:hint="eastAsia"/>
          <w:sz w:val="24"/>
          <w:szCs w:val="24"/>
        </w:rPr>
        <w:t>），测量范围为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100</w:t>
      </w:r>
      <w:r>
        <w:rPr>
          <w:rFonts w:ascii="微软雅黑" w:eastAsia="微软雅黑" w:hAnsi="微软雅黑" w:hint="eastAsia"/>
          <w:sz w:val="24"/>
          <w:szCs w:val="24"/>
        </w:rPr>
        <w:t>~</w:t>
      </w:r>
      <w:r>
        <w:rPr>
          <w:rFonts w:ascii="微软雅黑" w:eastAsia="微软雅黑" w:hAnsi="微软雅黑"/>
          <w:sz w:val="24"/>
          <w:szCs w:val="24"/>
        </w:rPr>
        <w:t>100μmol/L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监测脑组织中总血红蛋白浓度相对测量初始值的变化量（Δ</w:t>
      </w:r>
      <w:proofErr w:type="spellStart"/>
      <w:r>
        <w:rPr>
          <w:rFonts w:hint="eastAsia"/>
          <w:sz w:val="24"/>
          <w:szCs w:val="24"/>
        </w:rPr>
        <w:t>tHb</w:t>
      </w:r>
      <w:proofErr w:type="spellEnd"/>
      <w:r>
        <w:rPr>
          <w:rFonts w:hint="eastAsia"/>
          <w:sz w:val="24"/>
          <w:szCs w:val="24"/>
        </w:rPr>
        <w:t>），测量范围为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100</w:t>
      </w:r>
      <w:r>
        <w:rPr>
          <w:rFonts w:ascii="微软雅黑" w:eastAsia="微软雅黑" w:hAnsi="微软雅黑" w:hint="eastAsia"/>
          <w:sz w:val="24"/>
          <w:szCs w:val="24"/>
        </w:rPr>
        <w:t>~</w:t>
      </w:r>
      <w:r>
        <w:rPr>
          <w:rFonts w:ascii="微软雅黑" w:eastAsia="微软雅黑" w:hAnsi="微软雅黑"/>
          <w:sz w:val="24"/>
          <w:szCs w:val="24"/>
        </w:rPr>
        <w:t>100μmol/L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测量范围及分辨率：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99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，分辨率</w:t>
      </w:r>
      <w:r>
        <w:rPr>
          <w:rFonts w:hint="eastAsia"/>
          <w:sz w:val="24"/>
          <w:szCs w:val="24"/>
        </w:rPr>
        <w:t>1%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具有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种监测状态报警提示：传感器连接失败、传感器探头位置出错、传感器数据不稳定、环境光过强、模块未连接、传感器未连接等；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准确度：相对于颈内静脉与桡动脉氧饱和度值的</w:t>
      </w:r>
      <w:proofErr w:type="gramStart"/>
      <w:r>
        <w:rPr>
          <w:rFonts w:hint="eastAsia"/>
          <w:sz w:val="24"/>
          <w:szCs w:val="24"/>
        </w:rPr>
        <w:t>加权值</w:t>
      </w:r>
      <w:proofErr w:type="gramEnd"/>
      <w:r>
        <w:rPr>
          <w:rFonts w:hint="eastAsia"/>
          <w:sz w:val="24"/>
          <w:szCs w:val="24"/>
        </w:rPr>
        <w:t>相关系数为</w:t>
      </w:r>
      <w:r>
        <w:rPr>
          <w:sz w:val="24"/>
          <w:szCs w:val="24"/>
        </w:rPr>
        <w:t>0.976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标准差</w:t>
      </w:r>
      <w:r>
        <w:rPr>
          <w:sz w:val="24"/>
          <w:szCs w:val="24"/>
        </w:rPr>
        <w:t>≤2.16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偏差为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.25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仪器通道数≥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，每个通道可同屏监测、显示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个参数的数值或趋势曲线；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具有双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接口，可通过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接口进行数据传输、系统升级等功能；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视频输出端口：可连接</w:t>
      </w:r>
      <w:r>
        <w:rPr>
          <w:rFonts w:hint="eastAsia"/>
          <w:sz w:val="24"/>
          <w:szCs w:val="24"/>
        </w:rPr>
        <w:t>VGA</w:t>
      </w:r>
      <w:r>
        <w:rPr>
          <w:rFonts w:hint="eastAsia"/>
          <w:sz w:val="24"/>
          <w:szCs w:val="24"/>
        </w:rPr>
        <w:t>端口扩展屏幕；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配备有</w:t>
      </w:r>
      <w:r>
        <w:rPr>
          <w:rFonts w:hint="eastAsia"/>
          <w:sz w:val="24"/>
          <w:szCs w:val="24"/>
        </w:rPr>
        <w:t>RS232</w:t>
      </w:r>
      <w:r>
        <w:rPr>
          <w:rFonts w:hint="eastAsia"/>
          <w:sz w:val="24"/>
          <w:szCs w:val="24"/>
        </w:rPr>
        <w:t>通信接口；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连续监测时间≥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000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>，每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秒可储存一次数据；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传感器：带有五种波长的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，非激光光源，并含双路光电接收器，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z w:val="24"/>
          <w:szCs w:val="24"/>
        </w:rPr>
        <w:t>发光</w:t>
      </w:r>
      <w:proofErr w:type="gramStart"/>
      <w:r>
        <w:rPr>
          <w:sz w:val="24"/>
          <w:szCs w:val="24"/>
        </w:rPr>
        <w:t>管平均</w:t>
      </w:r>
      <w:proofErr w:type="gramEnd"/>
      <w:r>
        <w:rPr>
          <w:sz w:val="24"/>
          <w:szCs w:val="24"/>
        </w:rPr>
        <w:t>辐射功率</w:t>
      </w:r>
      <w:r>
        <w:rPr>
          <w:sz w:val="24"/>
          <w:szCs w:val="24"/>
        </w:rPr>
        <w:t>≤1mW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算法</w:t>
      </w:r>
      <w:r>
        <w:rPr>
          <w:rFonts w:hint="eastAsia"/>
          <w:sz w:val="24"/>
          <w:szCs w:val="24"/>
        </w:rPr>
        <w:t>：空间分辨率；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采样及刷新频率：采样频率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00Hz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刷新频率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秒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次；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显示屏幕：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>英寸，比例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:3</w:t>
      </w:r>
      <w:r>
        <w:rPr>
          <w:rFonts w:hint="eastAsia"/>
          <w:sz w:val="24"/>
          <w:szCs w:val="24"/>
        </w:rPr>
        <w:t>，分辨率</w:t>
      </w:r>
      <w:r>
        <w:rPr>
          <w:sz w:val="24"/>
          <w:szCs w:val="24"/>
        </w:rPr>
        <w:t>1024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760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质保三年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采用</w:t>
      </w:r>
      <w:r>
        <w:rPr>
          <w:rFonts w:hint="eastAsia"/>
          <w:sz w:val="24"/>
          <w:szCs w:val="24"/>
        </w:rPr>
        <w:t>电阻</w:t>
      </w:r>
      <w:r>
        <w:rPr>
          <w:sz w:val="24"/>
          <w:szCs w:val="24"/>
        </w:rPr>
        <w:t>触摸屏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备用电源：内置可充电锂电池，电池工作时间不少于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功耗：＜</w:t>
      </w:r>
      <w:r>
        <w:rPr>
          <w:sz w:val="24"/>
          <w:szCs w:val="24"/>
        </w:rPr>
        <w:t xml:space="preserve">100 </w:t>
      </w:r>
      <w:r>
        <w:rPr>
          <w:rFonts w:hint="eastAsia"/>
          <w:sz w:val="24"/>
          <w:szCs w:val="24"/>
        </w:rPr>
        <w:t>VA</w:t>
      </w:r>
      <w:r>
        <w:rPr>
          <w:rFonts w:hint="eastAsia"/>
          <w:sz w:val="24"/>
          <w:szCs w:val="24"/>
        </w:rPr>
        <w:t>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具有数据导出功能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可通过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SB</w:t>
      </w:r>
      <w:r>
        <w:rPr>
          <w:sz w:val="24"/>
          <w:szCs w:val="24"/>
        </w:rPr>
        <w:t>选择性导出所需的测量数据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导出数据格式为</w:t>
      </w:r>
      <w:r>
        <w:rPr>
          <w:sz w:val="24"/>
          <w:szCs w:val="24"/>
        </w:rPr>
        <w:t>CSV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可以用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专业的软件进行图标分析，便于科研与临床的数据分析</w:t>
      </w:r>
      <w:r>
        <w:rPr>
          <w:rFonts w:hint="eastAsia"/>
          <w:sz w:val="24"/>
          <w:szCs w:val="24"/>
        </w:rPr>
        <w:t>处理；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测量过程中可标记事件，可在任何时间做标记，事件按照应用场景可分为手术室、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血管</w:t>
      </w:r>
      <w:r>
        <w:rPr>
          <w:rFonts w:hint="eastAsia"/>
          <w:sz w:val="24"/>
          <w:szCs w:val="24"/>
        </w:rPr>
        <w:t>等类别；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时间标尺：可设置</w:t>
      </w:r>
      <w:r>
        <w:rPr>
          <w:rFonts w:hint="eastAsia"/>
          <w:sz w:val="24"/>
          <w:szCs w:val="24"/>
        </w:rPr>
        <w:t>15min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min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1h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2h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4h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8h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12h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24h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交互界面：可选中文或英文交互界面；</w:t>
      </w:r>
    </w:p>
    <w:p w:rsidR="00816DE1" w:rsidRDefault="00273605">
      <w:pPr>
        <w:pStyle w:val="a8"/>
        <w:numPr>
          <w:ilvl w:val="0"/>
          <w:numId w:val="1"/>
        </w:numPr>
        <w:spacing w:line="360" w:lineRule="auto"/>
        <w:ind w:firstLineChars="0"/>
        <w:rPr>
          <w:szCs w:val="24"/>
        </w:rPr>
      </w:pPr>
      <w:r>
        <w:rPr>
          <w:sz w:val="24"/>
          <w:szCs w:val="24"/>
        </w:rPr>
        <w:t>具有皮肤检查功能</w:t>
      </w:r>
      <w:r>
        <w:rPr>
          <w:rFonts w:hint="eastAsia"/>
          <w:sz w:val="24"/>
          <w:szCs w:val="24"/>
        </w:rPr>
        <w:t>，自检时长可设置</w:t>
      </w:r>
      <w:r>
        <w:rPr>
          <w:rFonts w:hint="eastAsia"/>
          <w:sz w:val="24"/>
          <w:szCs w:val="24"/>
        </w:rPr>
        <w:t>1-</w:t>
      </w:r>
      <w:r>
        <w:rPr>
          <w:sz w:val="24"/>
          <w:szCs w:val="24"/>
        </w:rPr>
        <w:t>12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>。</w:t>
      </w:r>
    </w:p>
    <w:p w:rsidR="00816DE1" w:rsidRDefault="00816DE1">
      <w:pPr>
        <w:spacing w:line="360" w:lineRule="auto"/>
        <w:rPr>
          <w:szCs w:val="24"/>
        </w:rPr>
      </w:pPr>
    </w:p>
    <w:sectPr w:rsidR="00816DE1">
      <w:headerReference w:type="default" r:id="rId9"/>
      <w:footerReference w:type="default" r:id="rId10"/>
      <w:pgSz w:w="11906" w:h="16838"/>
      <w:pgMar w:top="1261" w:right="1797" w:bottom="1440" w:left="179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05" w:rsidRDefault="00273605">
      <w:pPr>
        <w:spacing w:line="240" w:lineRule="auto"/>
      </w:pPr>
      <w:r>
        <w:separator/>
      </w:r>
    </w:p>
  </w:endnote>
  <w:endnote w:type="continuationSeparator" w:id="0">
    <w:p w:rsidR="00273605" w:rsidRDefault="0027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E1" w:rsidRDefault="00816DE1">
    <w:pPr>
      <w:pStyle w:val="a4"/>
      <w:tabs>
        <w:tab w:val="clear" w:pos="8306"/>
        <w:tab w:val="right" w:pos="8364"/>
      </w:tabs>
      <w:spacing w:line="240" w:lineRule="exact"/>
      <w:ind w:left="-426" w:right="43"/>
      <w:jc w:val="center"/>
      <w:rPr>
        <w:rFonts w:ascii="微软雅黑" w:eastAsia="微软雅黑" w:hAnsi="微软雅黑"/>
        <w:color w:val="595959"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05" w:rsidRDefault="00273605">
      <w:pPr>
        <w:spacing w:after="0"/>
      </w:pPr>
      <w:r>
        <w:separator/>
      </w:r>
    </w:p>
  </w:footnote>
  <w:footnote w:type="continuationSeparator" w:id="0">
    <w:p w:rsidR="00273605" w:rsidRDefault="00273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E1" w:rsidRDefault="00273605">
    <w:pPr>
      <w:pStyle w:val="a5"/>
      <w:tabs>
        <w:tab w:val="clear" w:pos="8306"/>
        <w:tab w:val="right" w:pos="8931"/>
      </w:tabs>
      <w:spacing w:line="480" w:lineRule="auto"/>
      <w:ind w:right="915"/>
      <w:rPr>
        <w:rFonts w:ascii="Segoe UI Light" w:eastAsia="微软雅黑" w:hAnsi="Segoe UI Light" w:cs="Calibri"/>
        <w:color w:val="595959"/>
        <w:spacing w:val="20"/>
        <w:sz w:val="15"/>
        <w:szCs w:val="15"/>
      </w:rPr>
    </w:pPr>
    <w:r>
      <w:rPr>
        <w:rFonts w:ascii="微软雅黑" w:eastAsia="微软雅黑" w:hAnsi="微软雅黑" w:cs="Calibri"/>
        <w:b/>
        <w:color w:val="365F91"/>
        <w:spacing w:val="20"/>
        <w:sz w:val="40"/>
        <w:szCs w:val="40"/>
      </w:rPr>
      <w:t xml:space="preserve">             </w:t>
    </w:r>
    <w:r>
      <w:rPr>
        <w:rFonts w:ascii="微软雅黑" w:eastAsia="微软雅黑" w:hAnsi="微软雅黑" w:cs="Calibri" w:hint="eastAsia"/>
        <w:b/>
        <w:color w:val="365F91"/>
        <w:spacing w:val="20"/>
        <w:sz w:val="40"/>
        <w:szCs w:val="40"/>
      </w:rPr>
      <w:t xml:space="preserve">     </w:t>
    </w:r>
    <w:r>
      <w:rPr>
        <w:rFonts w:ascii="微软雅黑" w:eastAsia="微软雅黑" w:hAnsi="微软雅黑" w:cs="Calibri"/>
        <w:b/>
        <w:color w:val="365F91"/>
        <w:spacing w:val="20"/>
        <w:sz w:val="40"/>
        <w:szCs w:val="40"/>
      </w:rPr>
      <w:t xml:space="preserve">  </w:t>
    </w:r>
  </w:p>
  <w:p w:rsidR="00816DE1" w:rsidRDefault="00816DE1">
    <w:pPr>
      <w:pStyle w:val="a5"/>
      <w:tabs>
        <w:tab w:val="right" w:pos="8222"/>
      </w:tabs>
      <w:ind w:leftChars="350" w:left="840" w:rightChars="-366" w:right="-878"/>
      <w:rPr>
        <w:rFonts w:ascii="Segoe UI Light" w:eastAsia="微软雅黑" w:hAnsi="Segoe UI Light" w:cs="Calibri"/>
        <w:color w:val="595959"/>
        <w:spacing w:val="20"/>
        <w:sz w:val="15"/>
        <w:szCs w:val="15"/>
      </w:rPr>
    </w:pPr>
  </w:p>
  <w:p w:rsidR="00816DE1" w:rsidRDefault="00816DE1">
    <w:pPr>
      <w:pStyle w:val="a5"/>
      <w:tabs>
        <w:tab w:val="clear" w:pos="8306"/>
      </w:tabs>
      <w:ind w:rightChars="-539" w:right="-1294"/>
      <w:rPr>
        <w:rFonts w:ascii="微软雅黑" w:eastAsia="微软雅黑" w:hAnsi="微软雅黑" w:cs="Calibri"/>
        <w:color w:val="595959"/>
        <w:spacing w:val="2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B1D89"/>
    <w:multiLevelType w:val="multilevel"/>
    <w:tmpl w:val="785B1D8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mVjYzA3OWY0ODk1NzY3NGNmYWNjNjYyNmQ5ODcifQ=="/>
  </w:docVars>
  <w:rsids>
    <w:rsidRoot w:val="00615A48"/>
    <w:rsid w:val="0000089F"/>
    <w:rsid w:val="00004F20"/>
    <w:rsid w:val="0000539F"/>
    <w:rsid w:val="00011E7C"/>
    <w:rsid w:val="00017022"/>
    <w:rsid w:val="0002156D"/>
    <w:rsid w:val="00030CDB"/>
    <w:rsid w:val="000342C1"/>
    <w:rsid w:val="000543F9"/>
    <w:rsid w:val="00060137"/>
    <w:rsid w:val="000643C8"/>
    <w:rsid w:val="00074C1A"/>
    <w:rsid w:val="00081C2E"/>
    <w:rsid w:val="00085D18"/>
    <w:rsid w:val="00090A73"/>
    <w:rsid w:val="0009736D"/>
    <w:rsid w:val="000A5E41"/>
    <w:rsid w:val="000B6B0D"/>
    <w:rsid w:val="000C132A"/>
    <w:rsid w:val="000C6FCA"/>
    <w:rsid w:val="000D671C"/>
    <w:rsid w:val="000E1529"/>
    <w:rsid w:val="000E21E6"/>
    <w:rsid w:val="000F31A7"/>
    <w:rsid w:val="00100249"/>
    <w:rsid w:val="00107BF9"/>
    <w:rsid w:val="00120D86"/>
    <w:rsid w:val="00137726"/>
    <w:rsid w:val="00145C92"/>
    <w:rsid w:val="001618AA"/>
    <w:rsid w:val="00167AF6"/>
    <w:rsid w:val="00175AE8"/>
    <w:rsid w:val="00180EA8"/>
    <w:rsid w:val="001920F1"/>
    <w:rsid w:val="00196807"/>
    <w:rsid w:val="00196934"/>
    <w:rsid w:val="001A0333"/>
    <w:rsid w:val="001A7EF9"/>
    <w:rsid w:val="001B445A"/>
    <w:rsid w:val="001B48F2"/>
    <w:rsid w:val="001B79D6"/>
    <w:rsid w:val="001C05AA"/>
    <w:rsid w:val="001D7BF9"/>
    <w:rsid w:val="001E0944"/>
    <w:rsid w:val="001E7C41"/>
    <w:rsid w:val="001F39D3"/>
    <w:rsid w:val="00200B36"/>
    <w:rsid w:val="0020453F"/>
    <w:rsid w:val="00211611"/>
    <w:rsid w:val="0022278A"/>
    <w:rsid w:val="002237D3"/>
    <w:rsid w:val="00230137"/>
    <w:rsid w:val="0023770C"/>
    <w:rsid w:val="00251551"/>
    <w:rsid w:val="00260842"/>
    <w:rsid w:val="00262E49"/>
    <w:rsid w:val="00265CE7"/>
    <w:rsid w:val="00273605"/>
    <w:rsid w:val="00275CE3"/>
    <w:rsid w:val="00276F1C"/>
    <w:rsid w:val="002812D9"/>
    <w:rsid w:val="00287569"/>
    <w:rsid w:val="00296C56"/>
    <w:rsid w:val="00297376"/>
    <w:rsid w:val="002A10DF"/>
    <w:rsid w:val="002B16E8"/>
    <w:rsid w:val="002D3270"/>
    <w:rsid w:val="002D4066"/>
    <w:rsid w:val="002D60AD"/>
    <w:rsid w:val="002E0589"/>
    <w:rsid w:val="002E2751"/>
    <w:rsid w:val="002E5CD4"/>
    <w:rsid w:val="002F1777"/>
    <w:rsid w:val="002F6EA8"/>
    <w:rsid w:val="00301DEF"/>
    <w:rsid w:val="0031087E"/>
    <w:rsid w:val="00311099"/>
    <w:rsid w:val="00311488"/>
    <w:rsid w:val="00311A43"/>
    <w:rsid w:val="00320DF5"/>
    <w:rsid w:val="00326BD8"/>
    <w:rsid w:val="00331645"/>
    <w:rsid w:val="0033487A"/>
    <w:rsid w:val="0033652F"/>
    <w:rsid w:val="0034474E"/>
    <w:rsid w:val="003457EA"/>
    <w:rsid w:val="003541AC"/>
    <w:rsid w:val="0035714A"/>
    <w:rsid w:val="003609CD"/>
    <w:rsid w:val="00373A03"/>
    <w:rsid w:val="003A6AA8"/>
    <w:rsid w:val="003C113B"/>
    <w:rsid w:val="003E7E18"/>
    <w:rsid w:val="00401B8B"/>
    <w:rsid w:val="00405C17"/>
    <w:rsid w:val="00410015"/>
    <w:rsid w:val="00420E86"/>
    <w:rsid w:val="00421A0E"/>
    <w:rsid w:val="0042255F"/>
    <w:rsid w:val="00422DDF"/>
    <w:rsid w:val="00431D2C"/>
    <w:rsid w:val="00435DEC"/>
    <w:rsid w:val="00440B34"/>
    <w:rsid w:val="004447A8"/>
    <w:rsid w:val="00444F71"/>
    <w:rsid w:val="0044796E"/>
    <w:rsid w:val="00455152"/>
    <w:rsid w:val="0045623D"/>
    <w:rsid w:val="0046048A"/>
    <w:rsid w:val="00460D66"/>
    <w:rsid w:val="00472EDC"/>
    <w:rsid w:val="0048337E"/>
    <w:rsid w:val="00492DD8"/>
    <w:rsid w:val="004A1810"/>
    <w:rsid w:val="004A5729"/>
    <w:rsid w:val="004B2196"/>
    <w:rsid w:val="004B29C0"/>
    <w:rsid w:val="004D7624"/>
    <w:rsid w:val="004E265C"/>
    <w:rsid w:val="004E45F1"/>
    <w:rsid w:val="004E623F"/>
    <w:rsid w:val="004E6250"/>
    <w:rsid w:val="004F01B8"/>
    <w:rsid w:val="004F4E51"/>
    <w:rsid w:val="004F5ACE"/>
    <w:rsid w:val="00521EDD"/>
    <w:rsid w:val="005313BD"/>
    <w:rsid w:val="00536633"/>
    <w:rsid w:val="00555D7F"/>
    <w:rsid w:val="00562FC0"/>
    <w:rsid w:val="00565F74"/>
    <w:rsid w:val="00577140"/>
    <w:rsid w:val="0058431F"/>
    <w:rsid w:val="005868C5"/>
    <w:rsid w:val="005916C3"/>
    <w:rsid w:val="005955AD"/>
    <w:rsid w:val="00595B8E"/>
    <w:rsid w:val="005A4BC3"/>
    <w:rsid w:val="005C3AAF"/>
    <w:rsid w:val="005D461A"/>
    <w:rsid w:val="005D6C84"/>
    <w:rsid w:val="005E1667"/>
    <w:rsid w:val="005F0367"/>
    <w:rsid w:val="00604FF2"/>
    <w:rsid w:val="00605DE2"/>
    <w:rsid w:val="00614B3E"/>
    <w:rsid w:val="00615A48"/>
    <w:rsid w:val="00624FCE"/>
    <w:rsid w:val="00626B00"/>
    <w:rsid w:val="00642185"/>
    <w:rsid w:val="006438BC"/>
    <w:rsid w:val="00665B5D"/>
    <w:rsid w:val="00674FE0"/>
    <w:rsid w:val="00681BA5"/>
    <w:rsid w:val="00685ED6"/>
    <w:rsid w:val="00690B22"/>
    <w:rsid w:val="00696A52"/>
    <w:rsid w:val="006A5F4E"/>
    <w:rsid w:val="006A6DF1"/>
    <w:rsid w:val="006B1EE4"/>
    <w:rsid w:val="006B51EB"/>
    <w:rsid w:val="006B6BD8"/>
    <w:rsid w:val="006B7C09"/>
    <w:rsid w:val="006C23A5"/>
    <w:rsid w:val="006D26C6"/>
    <w:rsid w:val="006D2C02"/>
    <w:rsid w:val="006D5FA7"/>
    <w:rsid w:val="006E7740"/>
    <w:rsid w:val="006E797C"/>
    <w:rsid w:val="006F782B"/>
    <w:rsid w:val="006F7D16"/>
    <w:rsid w:val="00717CE6"/>
    <w:rsid w:val="00720F5F"/>
    <w:rsid w:val="00724FD6"/>
    <w:rsid w:val="00727F28"/>
    <w:rsid w:val="007329A2"/>
    <w:rsid w:val="00740621"/>
    <w:rsid w:val="00741EA7"/>
    <w:rsid w:val="0074531D"/>
    <w:rsid w:val="00746868"/>
    <w:rsid w:val="007551BD"/>
    <w:rsid w:val="007574B1"/>
    <w:rsid w:val="00760C77"/>
    <w:rsid w:val="007761A7"/>
    <w:rsid w:val="00785411"/>
    <w:rsid w:val="00794752"/>
    <w:rsid w:val="00797D3D"/>
    <w:rsid w:val="007A31A6"/>
    <w:rsid w:val="007B0D49"/>
    <w:rsid w:val="007C2465"/>
    <w:rsid w:val="007C7280"/>
    <w:rsid w:val="007C7574"/>
    <w:rsid w:val="007D6626"/>
    <w:rsid w:val="007E698C"/>
    <w:rsid w:val="007E7F5D"/>
    <w:rsid w:val="007F1DA7"/>
    <w:rsid w:val="007F727C"/>
    <w:rsid w:val="00804B4F"/>
    <w:rsid w:val="00816DE1"/>
    <w:rsid w:val="00823A58"/>
    <w:rsid w:val="00830029"/>
    <w:rsid w:val="008323F1"/>
    <w:rsid w:val="008542C0"/>
    <w:rsid w:val="00860A0E"/>
    <w:rsid w:val="0086120E"/>
    <w:rsid w:val="00872E72"/>
    <w:rsid w:val="00873874"/>
    <w:rsid w:val="00876323"/>
    <w:rsid w:val="00876DF0"/>
    <w:rsid w:val="00886149"/>
    <w:rsid w:val="0089128C"/>
    <w:rsid w:val="008A3FA6"/>
    <w:rsid w:val="008B6C23"/>
    <w:rsid w:val="008C7C8D"/>
    <w:rsid w:val="008D0843"/>
    <w:rsid w:val="008D39CE"/>
    <w:rsid w:val="008D5A09"/>
    <w:rsid w:val="008E15DB"/>
    <w:rsid w:val="008E6C9C"/>
    <w:rsid w:val="008F1446"/>
    <w:rsid w:val="00904513"/>
    <w:rsid w:val="00904597"/>
    <w:rsid w:val="00916641"/>
    <w:rsid w:val="009333D9"/>
    <w:rsid w:val="0094529E"/>
    <w:rsid w:val="00946993"/>
    <w:rsid w:val="00953B17"/>
    <w:rsid w:val="0097062B"/>
    <w:rsid w:val="00970EA3"/>
    <w:rsid w:val="00995F19"/>
    <w:rsid w:val="009B00C2"/>
    <w:rsid w:val="009B562A"/>
    <w:rsid w:val="009B5779"/>
    <w:rsid w:val="009C2DFE"/>
    <w:rsid w:val="009E5357"/>
    <w:rsid w:val="009F1C02"/>
    <w:rsid w:val="00A0222C"/>
    <w:rsid w:val="00A03E25"/>
    <w:rsid w:val="00A05F05"/>
    <w:rsid w:val="00A132C1"/>
    <w:rsid w:val="00A1684E"/>
    <w:rsid w:val="00A17939"/>
    <w:rsid w:val="00A17F75"/>
    <w:rsid w:val="00A20204"/>
    <w:rsid w:val="00A25BB4"/>
    <w:rsid w:val="00A300D5"/>
    <w:rsid w:val="00A36943"/>
    <w:rsid w:val="00A43F0A"/>
    <w:rsid w:val="00A446D4"/>
    <w:rsid w:val="00A52C63"/>
    <w:rsid w:val="00A54F76"/>
    <w:rsid w:val="00A71C6F"/>
    <w:rsid w:val="00A83FD9"/>
    <w:rsid w:val="00A9263E"/>
    <w:rsid w:val="00A92F6F"/>
    <w:rsid w:val="00A97C72"/>
    <w:rsid w:val="00AB21B8"/>
    <w:rsid w:val="00AB3A4A"/>
    <w:rsid w:val="00AB7AEE"/>
    <w:rsid w:val="00AE7C37"/>
    <w:rsid w:val="00AF1952"/>
    <w:rsid w:val="00B24AF9"/>
    <w:rsid w:val="00B26F50"/>
    <w:rsid w:val="00B304AC"/>
    <w:rsid w:val="00B347BD"/>
    <w:rsid w:val="00B35116"/>
    <w:rsid w:val="00B356EF"/>
    <w:rsid w:val="00B37DA2"/>
    <w:rsid w:val="00B44747"/>
    <w:rsid w:val="00B46EDD"/>
    <w:rsid w:val="00B479B0"/>
    <w:rsid w:val="00B64910"/>
    <w:rsid w:val="00B679DC"/>
    <w:rsid w:val="00B70DCB"/>
    <w:rsid w:val="00B76204"/>
    <w:rsid w:val="00B90B40"/>
    <w:rsid w:val="00B9153B"/>
    <w:rsid w:val="00B918F6"/>
    <w:rsid w:val="00B92F37"/>
    <w:rsid w:val="00B97D61"/>
    <w:rsid w:val="00BA3FDD"/>
    <w:rsid w:val="00BA6D39"/>
    <w:rsid w:val="00BB6348"/>
    <w:rsid w:val="00BC1B78"/>
    <w:rsid w:val="00BC23E4"/>
    <w:rsid w:val="00BC6783"/>
    <w:rsid w:val="00BD174D"/>
    <w:rsid w:val="00BD4B95"/>
    <w:rsid w:val="00BD5167"/>
    <w:rsid w:val="00BD5564"/>
    <w:rsid w:val="00BE311F"/>
    <w:rsid w:val="00BF1425"/>
    <w:rsid w:val="00BF5CAB"/>
    <w:rsid w:val="00C0753B"/>
    <w:rsid w:val="00C11426"/>
    <w:rsid w:val="00C21273"/>
    <w:rsid w:val="00C22C68"/>
    <w:rsid w:val="00C27AFC"/>
    <w:rsid w:val="00C34E95"/>
    <w:rsid w:val="00C37201"/>
    <w:rsid w:val="00C5285A"/>
    <w:rsid w:val="00C61D0D"/>
    <w:rsid w:val="00C6376D"/>
    <w:rsid w:val="00C71626"/>
    <w:rsid w:val="00C723A6"/>
    <w:rsid w:val="00C801C6"/>
    <w:rsid w:val="00C93A7F"/>
    <w:rsid w:val="00C96990"/>
    <w:rsid w:val="00CA70F1"/>
    <w:rsid w:val="00CA7591"/>
    <w:rsid w:val="00CB198D"/>
    <w:rsid w:val="00CD5349"/>
    <w:rsid w:val="00CD5AEF"/>
    <w:rsid w:val="00CE2F69"/>
    <w:rsid w:val="00CE56CA"/>
    <w:rsid w:val="00CF2C09"/>
    <w:rsid w:val="00CF64EB"/>
    <w:rsid w:val="00D00691"/>
    <w:rsid w:val="00D13D1C"/>
    <w:rsid w:val="00D1498A"/>
    <w:rsid w:val="00D167D7"/>
    <w:rsid w:val="00D25482"/>
    <w:rsid w:val="00D3420B"/>
    <w:rsid w:val="00D376C5"/>
    <w:rsid w:val="00D40FAD"/>
    <w:rsid w:val="00D41D25"/>
    <w:rsid w:val="00D4287C"/>
    <w:rsid w:val="00D50032"/>
    <w:rsid w:val="00D5417C"/>
    <w:rsid w:val="00D5611A"/>
    <w:rsid w:val="00D67CF8"/>
    <w:rsid w:val="00D712E6"/>
    <w:rsid w:val="00D7159E"/>
    <w:rsid w:val="00D74D7B"/>
    <w:rsid w:val="00D836C1"/>
    <w:rsid w:val="00DA4906"/>
    <w:rsid w:val="00DB0DB6"/>
    <w:rsid w:val="00DC27A9"/>
    <w:rsid w:val="00DD148C"/>
    <w:rsid w:val="00DD1B06"/>
    <w:rsid w:val="00DE350C"/>
    <w:rsid w:val="00DE58CF"/>
    <w:rsid w:val="00DF2AFB"/>
    <w:rsid w:val="00E1227D"/>
    <w:rsid w:val="00E16ADA"/>
    <w:rsid w:val="00E2447C"/>
    <w:rsid w:val="00E4248D"/>
    <w:rsid w:val="00E4548A"/>
    <w:rsid w:val="00E55A29"/>
    <w:rsid w:val="00E56070"/>
    <w:rsid w:val="00E75485"/>
    <w:rsid w:val="00E82C20"/>
    <w:rsid w:val="00E83B07"/>
    <w:rsid w:val="00E973DC"/>
    <w:rsid w:val="00E97B5A"/>
    <w:rsid w:val="00EA2EBF"/>
    <w:rsid w:val="00EA3CFC"/>
    <w:rsid w:val="00EA5F5B"/>
    <w:rsid w:val="00EA60CA"/>
    <w:rsid w:val="00EB45EF"/>
    <w:rsid w:val="00EB4CA7"/>
    <w:rsid w:val="00EB6A62"/>
    <w:rsid w:val="00EB7F3D"/>
    <w:rsid w:val="00EC09E4"/>
    <w:rsid w:val="00EC46B9"/>
    <w:rsid w:val="00ED6A88"/>
    <w:rsid w:val="00EE32A2"/>
    <w:rsid w:val="00EE66AA"/>
    <w:rsid w:val="00EE7C72"/>
    <w:rsid w:val="00EF1CEF"/>
    <w:rsid w:val="00F00586"/>
    <w:rsid w:val="00F06596"/>
    <w:rsid w:val="00F074A4"/>
    <w:rsid w:val="00F13616"/>
    <w:rsid w:val="00F15032"/>
    <w:rsid w:val="00F20074"/>
    <w:rsid w:val="00F212F9"/>
    <w:rsid w:val="00F24C57"/>
    <w:rsid w:val="00F25800"/>
    <w:rsid w:val="00F35E21"/>
    <w:rsid w:val="00F436A5"/>
    <w:rsid w:val="00F607B5"/>
    <w:rsid w:val="00F70745"/>
    <w:rsid w:val="00F76E38"/>
    <w:rsid w:val="00F7750E"/>
    <w:rsid w:val="00F814AA"/>
    <w:rsid w:val="00F82EFD"/>
    <w:rsid w:val="00F84FC0"/>
    <w:rsid w:val="00F90FA4"/>
    <w:rsid w:val="00F910E6"/>
    <w:rsid w:val="00F96A6C"/>
    <w:rsid w:val="00FA08B5"/>
    <w:rsid w:val="00FB5DA6"/>
    <w:rsid w:val="00FD24F1"/>
    <w:rsid w:val="00FD2864"/>
    <w:rsid w:val="00FE3900"/>
    <w:rsid w:val="00FE396D"/>
    <w:rsid w:val="00FF5760"/>
    <w:rsid w:val="20F44A3F"/>
    <w:rsid w:val="4B713103"/>
    <w:rsid w:val="5A587406"/>
    <w:rsid w:val="79C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仿宋" w:hAnsi="Times New Roman"/>
      <w:sz w:val="24"/>
      <w:szCs w:val="22"/>
      <w:lang w:val="fr-F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eastAsia="宋体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宋体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spacing w:after="0" w:line="240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paragraph" w:styleId="a8">
    <w:name w:val="List Paragraph"/>
    <w:basedOn w:val="a"/>
    <w:autoRedefine/>
    <w:qFormat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Arial"/>
      <w:kern w:val="2"/>
      <w:sz w:val="21"/>
      <w:lang w:val="en-US"/>
    </w:rPr>
  </w:style>
  <w:style w:type="character" w:customStyle="1" w:styleId="Char">
    <w:name w:val="批注框文本 Char"/>
    <w:link w:val="a3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link w:val="1"/>
    <w:autoRedefine/>
    <w:uiPriority w:val="9"/>
    <w:qFormat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autoRedefine/>
    <w:uiPriority w:val="9"/>
    <w:qFormat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Times New Roman" w:eastAsia="仿宋" w:hAnsi="Times New Roman"/>
      <w:b/>
      <w:sz w:val="28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仿宋" w:hAnsi="Times New Roman"/>
      <w:sz w:val="24"/>
      <w:szCs w:val="22"/>
      <w:lang w:val="fr-F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eastAsia="宋体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宋体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spacing w:after="0" w:line="240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</w:style>
  <w:style w:type="character" w:customStyle="1" w:styleId="Char0">
    <w:name w:val="页脚 Char"/>
    <w:basedOn w:val="a0"/>
    <w:link w:val="a4"/>
    <w:uiPriority w:val="99"/>
    <w:qFormat/>
  </w:style>
  <w:style w:type="paragraph" w:styleId="a8">
    <w:name w:val="List Paragraph"/>
    <w:basedOn w:val="a"/>
    <w:autoRedefine/>
    <w:qFormat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Arial"/>
      <w:kern w:val="2"/>
      <w:sz w:val="21"/>
      <w:lang w:val="en-US"/>
    </w:rPr>
  </w:style>
  <w:style w:type="character" w:customStyle="1" w:styleId="Char">
    <w:name w:val="批注框文本 Char"/>
    <w:link w:val="a3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1Char">
    <w:name w:val="标题 1 Char"/>
    <w:link w:val="1"/>
    <w:autoRedefine/>
    <w:uiPriority w:val="9"/>
    <w:qFormat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link w:val="2"/>
    <w:autoRedefine/>
    <w:uiPriority w:val="9"/>
    <w:qFormat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Times New Roman" w:eastAsia="仿宋" w:hAnsi="Times New Roman"/>
      <w:b/>
      <w:sz w:val="28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4846-BA3A-4AE5-AD05-2C298F48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My</cp:lastModifiedBy>
  <cp:revision>6</cp:revision>
  <cp:lastPrinted>2021-02-22T07:28:00Z</cp:lastPrinted>
  <dcterms:created xsi:type="dcterms:W3CDTF">2022-07-12T06:44:00Z</dcterms:created>
  <dcterms:modified xsi:type="dcterms:W3CDTF">2024-04-29T03:24:00Z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5BD46602E6854EB89066B1F84247A363_12</vt:lpwstr>
  </property>
</Properties>
</file>