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29" w:rsidRDefault="00BE3C29" w:rsidP="00BE3C29">
      <w:pPr>
        <w:spacing w:line="276" w:lineRule="auto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附件1：</w:t>
      </w:r>
      <w:bookmarkStart w:id="0" w:name="_GoBack"/>
      <w:bookmarkEnd w:id="0"/>
    </w:p>
    <w:p w:rsidR="00235B0D" w:rsidRDefault="00BE3C29" w:rsidP="00BE3C29">
      <w:pPr>
        <w:spacing w:line="276" w:lineRule="auto"/>
        <w:ind w:firstLineChars="1100" w:firstLine="3092"/>
        <w:rPr>
          <w:rFonts w:ascii="宋体" w:hAnsi="宋体" w:cs="宋体"/>
          <w:b/>
          <w:bCs/>
          <w:kern w:val="0"/>
          <w:sz w:val="28"/>
          <w:szCs w:val="28"/>
        </w:rPr>
      </w:pPr>
      <w:r w:rsidRPr="00BE3C29">
        <w:rPr>
          <w:rFonts w:ascii="宋体" w:hAnsi="宋体" w:cs="宋体" w:hint="eastAsia"/>
          <w:b/>
          <w:bCs/>
          <w:kern w:val="0"/>
          <w:sz w:val="28"/>
          <w:szCs w:val="28"/>
        </w:rPr>
        <w:t>乳腺</w:t>
      </w:r>
      <w:proofErr w:type="gramStart"/>
      <w:r w:rsidRPr="00BE3C29">
        <w:rPr>
          <w:rFonts w:ascii="宋体" w:hAnsi="宋体" w:cs="宋体" w:hint="eastAsia"/>
          <w:b/>
          <w:bCs/>
          <w:kern w:val="0"/>
          <w:sz w:val="28"/>
          <w:szCs w:val="28"/>
        </w:rPr>
        <w:t>钼靶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技术</w:t>
      </w:r>
      <w:proofErr w:type="gramEnd"/>
      <w:r>
        <w:rPr>
          <w:rFonts w:ascii="宋体" w:hAnsi="宋体" w:cs="宋体" w:hint="eastAsia"/>
          <w:b/>
          <w:bCs/>
          <w:kern w:val="0"/>
          <w:sz w:val="28"/>
          <w:szCs w:val="28"/>
        </w:rPr>
        <w:t>参数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6804"/>
      </w:tblGrid>
      <w:tr w:rsidR="00235B0D">
        <w:tc>
          <w:tcPr>
            <w:tcW w:w="7860" w:type="dxa"/>
            <w:gridSpan w:val="2"/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bidi="ar"/>
              </w:rPr>
              <w:t>主要部件性能参数表及服务要求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  <w:vAlign w:val="center"/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调研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参数和性能要求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基本要求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1.1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设备用途：专用于人体乳腺组织摄影，获取组织影像用于乳腺疾病诊断、乳腺癌筛查；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机架系统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2.1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机架结构：自主研发垂直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C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臂型，具备全部自主知识产权，需提供相关专利证书证明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2.2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C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臂旋转范围：≥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+190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°至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-150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°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2.3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C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臂垂直移动范围：≥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63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mm-1440mm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以满足特殊患者的诊断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2.4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C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臂能在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全行程内任意位置锁定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  <w:vAlign w:val="center"/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系统具备功能升级接口，在软件支持的情况下可进行三维断层扫描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,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三维断层扫描旋转范围：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≥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+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°至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°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机架显示屏可显示当前体位及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待拍摄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体位信息，且具有一键到位功能，可一键切换预设体位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乳腺摄影支持轮椅模式，满足特殊患者的诊断的需求。</w:t>
            </w:r>
          </w:p>
        </w:tc>
      </w:tr>
      <w:tr w:rsidR="00235B0D">
        <w:trPr>
          <w:trHeight w:val="397"/>
        </w:trPr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高压发生器组件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3.1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最大输出功率：≥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5kw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3.2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输出电压范围：≥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20-40kv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3.3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输出电流范围：≥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10mA-160mA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3.4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加载时间范围：≥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0.005s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-10s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3.5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电流时间集调节范围：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0.5-550mAs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3.6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具有曝光控制系统，支持一键曝光或者手闸曝光。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X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射线管组件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4.1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阳极结构为：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双靶角旋转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阳极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4.2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标称管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电压：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20-40KV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4.3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阳极热容量：≥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300khu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4.4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阳极转速：≥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10000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转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分钟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/>
                <w:kern w:val="0"/>
                <w:lang w:bidi="ar"/>
              </w:rPr>
            </w:pPr>
            <w:r>
              <w:rPr>
                <w:rFonts w:asciiTheme="minorEastAsia" w:eastAsiaTheme="minorEastAsia" w:hAnsiTheme="minorEastAsia"/>
                <w:kern w:val="0"/>
                <w:lang w:bidi="ar"/>
              </w:rPr>
              <w:t>4.5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阳极材料：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钼</w:t>
            </w:r>
            <w:proofErr w:type="gramEnd"/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/>
                <w:kern w:val="0"/>
                <w:lang w:bidi="ar"/>
              </w:rPr>
            </w:pPr>
            <w:r>
              <w:rPr>
                <w:rFonts w:asciiTheme="minorEastAsia" w:eastAsiaTheme="minorEastAsia" w:hAnsiTheme="minorEastAsia"/>
                <w:kern w:val="0"/>
                <w:lang w:bidi="ar"/>
              </w:rPr>
              <w:t>4.6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焦点尺寸：小焦点≤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0.1mm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，大焦点≤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0.3mm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/>
                <w:kern w:val="0"/>
                <w:lang w:bidi="ar"/>
              </w:rPr>
            </w:pPr>
            <w:r>
              <w:rPr>
                <w:rFonts w:asciiTheme="minorEastAsia" w:eastAsiaTheme="minorEastAsia" w:hAnsiTheme="minorEastAsia"/>
                <w:kern w:val="0"/>
                <w:lang w:bidi="ar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平板探测器组件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="宋体" w:eastAsia="MS Mincho" w:hAnsi="MS Mincho" w:cs="MS Mincho"/>
                <w:kern w:val="0"/>
                <w:szCs w:val="21"/>
              </w:rPr>
            </w:pPr>
            <w:r>
              <w:rPr>
                <w:rFonts w:ascii="宋体" w:eastAsia="MS Mincho" w:hAnsi="MS Mincho" w:cs="MS Mincho" w:hint="eastAsia"/>
                <w:kern w:val="0"/>
                <w:szCs w:val="21"/>
              </w:rPr>
              <w:t>5.1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成像介质：非晶硅</w:t>
            </w:r>
          </w:p>
        </w:tc>
      </w:tr>
      <w:tr w:rsidR="00235B0D">
        <w:trPr>
          <w:trHeight w:val="479"/>
        </w:trPr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5.2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成像尺寸：≥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240mm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300mm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/>
                <w:kern w:val="0"/>
                <w:lang w:bidi="ar"/>
              </w:rPr>
            </w:pPr>
            <w:r>
              <w:rPr>
                <w:rFonts w:asciiTheme="minorEastAsia" w:eastAsiaTheme="minorEastAsia" w:hAnsiTheme="minorEastAsia"/>
                <w:kern w:val="0"/>
                <w:lang w:bidi="ar"/>
              </w:rPr>
              <w:t>5.3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常规空间分辨率：≥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7.0lp/mm</w:t>
            </w:r>
          </w:p>
        </w:tc>
      </w:tr>
      <w:tr w:rsidR="00235B0D">
        <w:tc>
          <w:tcPr>
            <w:tcW w:w="1056" w:type="dxa"/>
            <w:tcBorders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像素矩阵：≥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2800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3500</w:t>
            </w:r>
          </w:p>
        </w:tc>
      </w:tr>
      <w:tr w:rsidR="00235B0D">
        <w:tc>
          <w:tcPr>
            <w:tcW w:w="1056" w:type="dxa"/>
            <w:tcBorders>
              <w:bottom w:val="single" w:sz="4" w:space="0" w:color="auto"/>
              <w:right w:val="nil"/>
            </w:tcBorders>
            <w:vAlign w:val="center"/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</w:rPr>
            </w:pPr>
            <w:r>
              <w:rPr>
                <w:rFonts w:asciiTheme="minorEastAsia" w:eastAsiaTheme="minorEastAsia" w:hAnsiTheme="minorEastAsia" w:cs="宋体"/>
                <w:bCs/>
              </w:rPr>
              <w:lastRenderedPageBreak/>
              <w:t>5.5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2"/>
                <w:szCs w:val="22"/>
              </w:rPr>
              <w:t>A/D</w:t>
            </w:r>
            <w:r>
              <w:rPr>
                <w:rFonts w:asciiTheme="minorEastAsia" w:eastAsiaTheme="minorEastAsia" w:hAnsiTheme="minorEastAsia" w:cs="宋体" w:hint="eastAsia"/>
                <w:bCs/>
                <w:sz w:val="22"/>
                <w:szCs w:val="22"/>
              </w:rPr>
              <w:t>转化：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16-bits</w:t>
            </w:r>
          </w:p>
        </w:tc>
      </w:tr>
      <w:tr w:rsidR="00235B0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/>
                <w:kern w:val="0"/>
                <w:lang w:bidi="ar"/>
              </w:rPr>
            </w:pPr>
            <w:r>
              <w:rPr>
                <w:rFonts w:asciiTheme="minorEastAsia" w:eastAsiaTheme="minorEastAsia" w:hAnsiTheme="minorEastAsia"/>
                <w:kern w:val="0"/>
                <w:lang w:bidi="ar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多功能图像采集处理一体化工作站</w:t>
            </w:r>
          </w:p>
        </w:tc>
      </w:tr>
      <w:tr w:rsidR="00235B0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6.1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专业医用显示器，尺寸≥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19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英寸</w:t>
            </w:r>
          </w:p>
        </w:tc>
      </w:tr>
      <w:tr w:rsidR="00235B0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/>
                <w:kern w:val="0"/>
                <w:lang w:bidi="ar"/>
              </w:rPr>
            </w:pPr>
            <w:r>
              <w:rPr>
                <w:rFonts w:asciiTheme="minorEastAsia" w:eastAsiaTheme="minorEastAsia" w:hAnsiTheme="minorEastAsia"/>
                <w:kern w:val="0"/>
                <w:lang w:bidi="ar"/>
              </w:rPr>
              <w:t>6.2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显示器分辨率：≥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1280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1024</w:t>
            </w:r>
          </w:p>
        </w:tc>
      </w:tr>
      <w:tr w:rsidR="00235B0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/>
                <w:kern w:val="0"/>
                <w:lang w:bidi="ar"/>
              </w:rPr>
            </w:pPr>
            <w:r>
              <w:rPr>
                <w:rFonts w:asciiTheme="minorEastAsia" w:eastAsiaTheme="minorEastAsia" w:hAnsiTheme="minorEastAsia"/>
                <w:kern w:val="0"/>
                <w:lang w:bidi="ar"/>
              </w:rPr>
              <w:t>6.3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显示器对比度：≥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1000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</w:tr>
      <w:tr w:rsidR="00235B0D"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/>
                <w:kern w:val="0"/>
                <w:lang w:bidi="ar"/>
              </w:rPr>
            </w:pPr>
            <w:r>
              <w:rPr>
                <w:rFonts w:asciiTheme="minorEastAsia" w:eastAsiaTheme="minorEastAsia" w:hAnsiTheme="minorEastAsia"/>
                <w:kern w:val="0"/>
                <w:lang w:bidi="ar"/>
              </w:rPr>
              <w:t>6.4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工作站内存：≥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8G</w:t>
            </w:r>
          </w:p>
        </w:tc>
      </w:tr>
      <w:tr w:rsidR="00235B0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/>
                <w:kern w:val="0"/>
                <w:lang w:bidi="ar"/>
              </w:rPr>
            </w:pPr>
            <w:r>
              <w:rPr>
                <w:rFonts w:asciiTheme="minorEastAsia" w:eastAsiaTheme="minorEastAsia" w:hAnsiTheme="minorEastAsia"/>
                <w:kern w:val="0"/>
                <w:lang w:bidi="ar"/>
              </w:rPr>
              <w:t>6.5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硬盘容量：≥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320G</w:t>
            </w:r>
          </w:p>
        </w:tc>
      </w:tr>
      <w:tr w:rsidR="00235B0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5B0D" w:rsidRDefault="00235B0D">
            <w:pPr>
              <w:spacing w:line="276" w:lineRule="auto"/>
              <w:rPr>
                <w:rFonts w:asciiTheme="minorEastAsia" w:eastAsiaTheme="minorEastAsia" w:hAnsiTheme="minorEastAsia"/>
                <w:kern w:val="0"/>
                <w:lang w:bidi="a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235B0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35B0D">
        <w:tc>
          <w:tcPr>
            <w:tcW w:w="1056" w:type="dxa"/>
            <w:tcBorders>
              <w:top w:val="single" w:sz="4" w:space="0" w:color="auto"/>
              <w:right w:val="nil"/>
            </w:tcBorders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/>
                <w:kern w:val="0"/>
                <w:lang w:bidi="ar"/>
              </w:rPr>
            </w:pPr>
            <w:r>
              <w:rPr>
                <w:rFonts w:asciiTheme="minorEastAsia" w:eastAsiaTheme="minorEastAsia" w:hAnsiTheme="minorEastAsia"/>
                <w:kern w:val="0"/>
                <w:lang w:bidi="ar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工作站软件功能</w:t>
            </w:r>
          </w:p>
        </w:tc>
      </w:tr>
      <w:tr w:rsidR="00235B0D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7.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具备穿刺活检升级接口</w:t>
            </w:r>
          </w:p>
        </w:tc>
      </w:tr>
      <w:tr w:rsidR="00235B0D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7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图像工作站具备指纹识别功能，可通过刷指纹实现采集软件的用户登陆</w:t>
            </w:r>
          </w:p>
        </w:tc>
      </w:tr>
      <w:tr w:rsidR="00235B0D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7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图像工作站具备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远程云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诊断功能，可以进行远程图像传输、诊断；</w:t>
            </w:r>
          </w:p>
        </w:tc>
      </w:tr>
      <w:tr w:rsidR="00235B0D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7.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符合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DICOM3.0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标准（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DICOM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传输、储存、打印），能与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RIS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系统无缝连接</w:t>
            </w:r>
          </w:p>
        </w:tc>
      </w:tr>
      <w:tr w:rsidR="00235B0D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7.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病人数据可手动输入，或通过条形码扫描输入，也可通过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DICOM </w:t>
            </w:r>
            <w:proofErr w:type="spell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Worklist</w:t>
            </w:r>
            <w:proofErr w:type="spell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从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HIS/RIS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中直接获取</w:t>
            </w:r>
          </w:p>
        </w:tc>
      </w:tr>
      <w:tr w:rsidR="00235B0D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7.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病例管理：病例管理功能，包括病人信息、检查信息和图像的管理</w:t>
            </w:r>
          </w:p>
        </w:tc>
      </w:tr>
      <w:tr w:rsidR="00235B0D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7.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窗宽、床位和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Gamma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调节，多点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LUT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曲线调整正负片转换、图像缩放、平移、镜像、旋转、放大镜显示；图像平滑、锐化、降噪、提取边缘、组织均衡；图像标注功能，包括画直线、矩形、多边形、箭头和文字；图像原始显示、全屏显示、直方图显示、不同部位窗宽床位预置；实时提示系统可存储的图像数量</w:t>
            </w:r>
          </w:p>
        </w:tc>
      </w:tr>
      <w:tr w:rsidR="00235B0D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7.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数字摄影功能，可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配置正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负片图像采集；实时窗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宽窗位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调节；实时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ROI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裁剪；实时水平镜像、垂直镜像、旋转功能，根据不同部位选择镜像和旋转；可显示病人信息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检查信息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设备信息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图像信息</w:t>
            </w:r>
          </w:p>
        </w:tc>
      </w:tr>
      <w:tr w:rsidR="00235B0D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35B0D" w:rsidRDefault="00BE3C29">
            <w:pPr>
              <w:spacing w:line="276" w:lineRule="auto"/>
              <w:rPr>
                <w:rFonts w:asciiTheme="minorEastAsia" w:hAnsiTheme="minorEastAsia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  <w:lang w:bidi="ar"/>
              </w:rPr>
              <w:t>为方便后期开展人工智能诊断研究，工作站软件需具备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  <w:lang w:bidi="ar"/>
              </w:rPr>
              <w:t>DR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  <w:lang w:bidi="ar"/>
              </w:rPr>
              <w:t>影像智能分析拓展功能（提供对应功能的软件著作权证书证明）</w:t>
            </w:r>
          </w:p>
        </w:tc>
      </w:tr>
      <w:tr w:rsidR="00235B0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7.1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支持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XML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格式化报告，可以进行报告排版，可切换报告单样式，支持所见即所得功能</w:t>
            </w:r>
          </w:p>
        </w:tc>
      </w:tr>
      <w:tr w:rsidR="00235B0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35B0D" w:rsidRDefault="00BE3C29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B0D" w:rsidRDefault="00BE3C2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整机质保三年</w:t>
            </w:r>
          </w:p>
        </w:tc>
      </w:tr>
    </w:tbl>
    <w:p w:rsidR="00235B0D" w:rsidRDefault="00235B0D"/>
    <w:sectPr w:rsidR="0023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DI1YzU0Yzk1MjllYmI5ZDQyNjEwNmRmMzc0ODMifQ=="/>
  </w:docVars>
  <w:rsids>
    <w:rsidRoot w:val="00235B0D"/>
    <w:rsid w:val="00235B0D"/>
    <w:rsid w:val="00BE3C29"/>
    <w:rsid w:val="4FD5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er" w:semiHidden="0"/>
    <w:lsdException w:name="footer" w:semiHidden="0"/>
    <w:lsdException w:name="Title" w:semiHidden="0" w:unhideWhenUsed="0"/>
    <w:lsdException w:name="Default Paragraph Font" w:semiHidden="0" w:uiPriority="1"/>
    <w:lsdException w:name="Subtitle" w:semiHidden="0" w:unhideWhenUsed="0"/>
    <w:lsdException w:name="Strong" w:semiHidden="0" w:uiPriority="22" w:unhideWhenUsed="0" w:qFormat="1"/>
    <w:lsdException w:name="Emphasis" w:semiHidden="0" w:unhideWhenUsed="0"/>
    <w:lsdException w:name="Normal Table" w:semiHidden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22"/>
    <w:qFormat/>
    <w:rPr>
      <w:b/>
      <w:bCs/>
    </w:rPr>
  </w:style>
  <w:style w:type="character" w:customStyle="1" w:styleId="font91">
    <w:name w:val="font91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11">
    <w:name w:val="font1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1">
    <w:name w:val="font21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31">
    <w:name w:val="font1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51">
    <w:name w:val="font51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2">
    <w:name w:val="font11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rPr>
      <w:rFonts w:ascii="宋体" w:eastAsia="宋体" w:hAnsi="宋体" w:cs="宋体" w:hint="eastAsia"/>
      <w:color w:val="0D0D0D"/>
      <w:sz w:val="20"/>
      <w:szCs w:val="20"/>
      <w:u w:val="none"/>
    </w:rPr>
  </w:style>
  <w:style w:type="character" w:customStyle="1" w:styleId="font31">
    <w:name w:val="font31"/>
    <w:rPr>
      <w:rFonts w:ascii="宋体" w:eastAsia="宋体" w:hAnsi="宋体" w:cs="宋体" w:hint="eastAsia"/>
      <w:color w:val="0D0D0D"/>
      <w:sz w:val="20"/>
      <w:szCs w:val="20"/>
      <w:u w:val="none"/>
    </w:rPr>
  </w:style>
  <w:style w:type="character" w:customStyle="1" w:styleId="font01">
    <w:name w:val="font01"/>
    <w:qFormat/>
    <w:rPr>
      <w:rFonts w:ascii="Calibri" w:hAnsi="Calibri" w:cs="Calibri" w:hint="default"/>
      <w:color w:val="0D0D0D"/>
      <w:sz w:val="20"/>
      <w:szCs w:val="20"/>
      <w:u w:val="none"/>
    </w:rPr>
  </w:style>
  <w:style w:type="paragraph" w:customStyle="1" w:styleId="a6">
    <w:name w:val="我们红色"/>
    <w:basedOn w:val="a"/>
    <w:link w:val="Char1"/>
    <w:pPr>
      <w:spacing w:line="360" w:lineRule="auto"/>
    </w:pPr>
    <w:rPr>
      <w:rFonts w:ascii="宋体" w:hAnsi="宋体" w:cs="宋体"/>
      <w:color w:val="FF0000"/>
      <w:kern w:val="0"/>
      <w:szCs w:val="21"/>
    </w:rPr>
  </w:style>
  <w:style w:type="paragraph" w:customStyle="1" w:styleId="a7">
    <w:name w:val="我们蓝色"/>
    <w:basedOn w:val="a"/>
    <w:link w:val="Char2"/>
    <w:pPr>
      <w:spacing w:line="360" w:lineRule="auto"/>
    </w:pPr>
    <w:rPr>
      <w:color w:val="00B0F0"/>
      <w:szCs w:val="24"/>
    </w:rPr>
  </w:style>
  <w:style w:type="character" w:customStyle="1" w:styleId="Char1">
    <w:name w:val="我们红色 Char"/>
    <w:link w:val="a6"/>
    <w:rPr>
      <w:rFonts w:ascii="宋体" w:eastAsia="宋体" w:hAnsi="宋体" w:cs="宋体"/>
      <w:color w:val="FF0000"/>
      <w:kern w:val="0"/>
      <w:szCs w:val="21"/>
    </w:rPr>
  </w:style>
  <w:style w:type="character" w:customStyle="1" w:styleId="Char2">
    <w:name w:val="我们蓝色 Char"/>
    <w:link w:val="a7"/>
    <w:qFormat/>
    <w:rPr>
      <w:rFonts w:ascii="Times New Roman" w:eastAsia="宋体" w:hAnsi="Times New Roman" w:cs="Times New Roman"/>
      <w:color w:val="00B0F0"/>
      <w:szCs w:val="24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er" w:semiHidden="0"/>
    <w:lsdException w:name="footer" w:semiHidden="0"/>
    <w:lsdException w:name="Title" w:semiHidden="0" w:unhideWhenUsed="0"/>
    <w:lsdException w:name="Default Paragraph Font" w:semiHidden="0" w:uiPriority="1"/>
    <w:lsdException w:name="Subtitle" w:semiHidden="0" w:unhideWhenUsed="0"/>
    <w:lsdException w:name="Strong" w:semiHidden="0" w:uiPriority="22" w:unhideWhenUsed="0" w:qFormat="1"/>
    <w:lsdException w:name="Emphasis" w:semiHidden="0" w:unhideWhenUsed="0"/>
    <w:lsdException w:name="Normal Table" w:semiHidden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22"/>
    <w:qFormat/>
    <w:rPr>
      <w:b/>
      <w:bCs/>
    </w:rPr>
  </w:style>
  <w:style w:type="character" w:customStyle="1" w:styleId="font91">
    <w:name w:val="font91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11">
    <w:name w:val="font1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1">
    <w:name w:val="font21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31">
    <w:name w:val="font1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51">
    <w:name w:val="font51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2">
    <w:name w:val="font11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rPr>
      <w:rFonts w:ascii="宋体" w:eastAsia="宋体" w:hAnsi="宋体" w:cs="宋体" w:hint="eastAsia"/>
      <w:color w:val="0D0D0D"/>
      <w:sz w:val="20"/>
      <w:szCs w:val="20"/>
      <w:u w:val="none"/>
    </w:rPr>
  </w:style>
  <w:style w:type="character" w:customStyle="1" w:styleId="font31">
    <w:name w:val="font31"/>
    <w:rPr>
      <w:rFonts w:ascii="宋体" w:eastAsia="宋体" w:hAnsi="宋体" w:cs="宋体" w:hint="eastAsia"/>
      <w:color w:val="0D0D0D"/>
      <w:sz w:val="20"/>
      <w:szCs w:val="20"/>
      <w:u w:val="none"/>
    </w:rPr>
  </w:style>
  <w:style w:type="character" w:customStyle="1" w:styleId="font01">
    <w:name w:val="font01"/>
    <w:qFormat/>
    <w:rPr>
      <w:rFonts w:ascii="Calibri" w:hAnsi="Calibri" w:cs="Calibri" w:hint="default"/>
      <w:color w:val="0D0D0D"/>
      <w:sz w:val="20"/>
      <w:szCs w:val="20"/>
      <w:u w:val="none"/>
    </w:rPr>
  </w:style>
  <w:style w:type="paragraph" w:customStyle="1" w:styleId="a6">
    <w:name w:val="我们红色"/>
    <w:basedOn w:val="a"/>
    <w:link w:val="Char1"/>
    <w:pPr>
      <w:spacing w:line="360" w:lineRule="auto"/>
    </w:pPr>
    <w:rPr>
      <w:rFonts w:ascii="宋体" w:hAnsi="宋体" w:cs="宋体"/>
      <w:color w:val="FF0000"/>
      <w:kern w:val="0"/>
      <w:szCs w:val="21"/>
    </w:rPr>
  </w:style>
  <w:style w:type="paragraph" w:customStyle="1" w:styleId="a7">
    <w:name w:val="我们蓝色"/>
    <w:basedOn w:val="a"/>
    <w:link w:val="Char2"/>
    <w:pPr>
      <w:spacing w:line="360" w:lineRule="auto"/>
    </w:pPr>
    <w:rPr>
      <w:color w:val="00B0F0"/>
      <w:szCs w:val="24"/>
    </w:rPr>
  </w:style>
  <w:style w:type="character" w:customStyle="1" w:styleId="Char1">
    <w:name w:val="我们红色 Char"/>
    <w:link w:val="a6"/>
    <w:rPr>
      <w:rFonts w:ascii="宋体" w:eastAsia="宋体" w:hAnsi="宋体" w:cs="宋体"/>
      <w:color w:val="FF0000"/>
      <w:kern w:val="0"/>
      <w:szCs w:val="21"/>
    </w:rPr>
  </w:style>
  <w:style w:type="character" w:customStyle="1" w:styleId="Char2">
    <w:name w:val="我们蓝色 Char"/>
    <w:link w:val="a7"/>
    <w:qFormat/>
    <w:rPr>
      <w:rFonts w:ascii="Times New Roman" w:eastAsia="宋体" w:hAnsi="Times New Roman" w:cs="Times New Roman"/>
      <w:color w:val="00B0F0"/>
      <w:szCs w:val="24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</dc:creator>
  <cp:lastModifiedBy>My</cp:lastModifiedBy>
  <cp:revision>3</cp:revision>
  <dcterms:created xsi:type="dcterms:W3CDTF">2022-04-26T19:09:00Z</dcterms:created>
  <dcterms:modified xsi:type="dcterms:W3CDTF">2024-06-15T03:35:00Z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E227BB4D5007404CA18F15511C859D4F_13</vt:lpwstr>
  </property>
</Properties>
</file>