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5A73B5">
      <w:pPr>
        <w:pStyle w:val="2"/>
        <w:spacing w:line="413" w:lineRule="auto"/>
        <w:jc w:val="center"/>
        <w:rPr>
          <w:rFonts w:cs="仿宋" w:asciiTheme="minorEastAsia" w:hAnsiTheme="minorEastAsia" w:eastAsiaTheme="minorEastAsia"/>
          <w:b/>
          <w:sz w:val="24"/>
          <w:szCs w:val="24"/>
        </w:rPr>
      </w:pPr>
      <w:r>
        <w:rPr>
          <w:rFonts w:hint="eastAsia" w:ascii="仿宋" w:hAnsi="仿宋" w:eastAsia="仿宋" w:cs="仿宋"/>
          <w:lang w:val="en-US" w:eastAsia="zh-CN"/>
        </w:rPr>
        <w:t>南昌市第一医院污水处理运维服务项目</w:t>
      </w:r>
      <w:r>
        <w:rPr>
          <w:rFonts w:hint="eastAsia" w:ascii="仿宋" w:hAnsi="仿宋" w:eastAsia="仿宋" w:cs="仿宋"/>
        </w:rPr>
        <w:t>采购需求</w:t>
      </w:r>
    </w:p>
    <w:p w14:paraId="0A3B25A7">
      <w:pPr>
        <w:spacing w:line="440" w:lineRule="exact"/>
        <w:jc w:val="center"/>
        <w:rPr>
          <w:rFonts w:ascii="宋体" w:hAnsi="宋体" w:cs="宋体"/>
          <w:b/>
          <w:sz w:val="40"/>
          <w:szCs w:val="40"/>
        </w:rPr>
      </w:pPr>
      <w:bookmarkStart w:id="0" w:name="_Toc262628248"/>
      <w:bookmarkStart w:id="1" w:name="_Toc281381163"/>
      <w:bookmarkStart w:id="2" w:name="_Toc286758337"/>
      <w:r>
        <w:rPr>
          <w:rFonts w:hint="eastAsia" w:ascii="宋体" w:hAnsi="宋体" w:cs="宋体"/>
          <w:b/>
          <w:sz w:val="40"/>
          <w:szCs w:val="40"/>
          <w:lang w:val="en-US" w:eastAsia="zh-CN"/>
        </w:rPr>
        <w:t>老院区</w:t>
      </w:r>
      <w:r>
        <w:rPr>
          <w:rFonts w:hint="eastAsia" w:ascii="宋体" w:hAnsi="宋体" w:cs="宋体"/>
          <w:b/>
          <w:sz w:val="40"/>
          <w:szCs w:val="40"/>
        </w:rPr>
        <w:t>采购需求</w:t>
      </w:r>
    </w:p>
    <w:tbl>
      <w:tblPr>
        <w:tblStyle w:val="8"/>
        <w:tblpPr w:leftFromText="180" w:rightFromText="180" w:vertAnchor="text" w:horzAnchor="page" w:tblpXSpec="center" w:tblpY="212"/>
        <w:tblOverlap w:val="never"/>
        <w:tblW w:w="9196" w:type="dxa"/>
        <w:tblInd w:w="7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7406"/>
      </w:tblGrid>
      <w:tr w14:paraId="5F48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9" w:hRule="atLeast"/>
        </w:trPr>
        <w:tc>
          <w:tcPr>
            <w:tcW w:w="1790" w:type="dxa"/>
            <w:vAlign w:val="center"/>
          </w:tcPr>
          <w:p w14:paraId="456BC7AD">
            <w:pPr>
              <w:spacing w:line="440" w:lineRule="exact"/>
              <w:jc w:val="center"/>
              <w:rPr>
                <w:rFonts w:ascii="宋体" w:hAnsi="宋体" w:cs="宋体"/>
                <w:sz w:val="24"/>
                <w:szCs w:val="24"/>
              </w:rPr>
            </w:pPr>
            <w:r>
              <w:rPr>
                <w:rFonts w:hint="eastAsia" w:ascii="宋体" w:hAnsi="宋体" w:cs="宋体"/>
                <w:sz w:val="24"/>
                <w:szCs w:val="24"/>
              </w:rPr>
              <w:t>名称</w:t>
            </w:r>
          </w:p>
        </w:tc>
        <w:tc>
          <w:tcPr>
            <w:tcW w:w="7406" w:type="dxa"/>
            <w:vAlign w:val="center"/>
          </w:tcPr>
          <w:p w14:paraId="73AFF440">
            <w:pPr>
              <w:spacing w:line="440" w:lineRule="exact"/>
              <w:jc w:val="center"/>
              <w:rPr>
                <w:rFonts w:hint="default" w:ascii="宋体" w:hAnsi="宋体" w:eastAsia="宋体" w:cs="宋体"/>
                <w:sz w:val="24"/>
                <w:szCs w:val="24"/>
                <w:lang w:val="en-US" w:eastAsia="zh-CN"/>
              </w:rPr>
            </w:pPr>
            <w:r>
              <w:rPr>
                <w:rFonts w:hint="eastAsia" w:ascii="宋体" w:hAnsi="宋体" w:cs="宋体"/>
                <w:sz w:val="24"/>
                <w:szCs w:val="24"/>
              </w:rPr>
              <w:t>南昌市第一医院污水处理运维服务外包项目</w:t>
            </w:r>
          </w:p>
        </w:tc>
      </w:tr>
      <w:tr w14:paraId="2BFA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1790" w:type="dxa"/>
            <w:vAlign w:val="center"/>
          </w:tcPr>
          <w:p w14:paraId="20954787">
            <w:pPr>
              <w:spacing w:line="440" w:lineRule="exact"/>
              <w:jc w:val="center"/>
              <w:rPr>
                <w:rFonts w:ascii="宋体" w:hAnsi="宋体" w:cs="宋体"/>
                <w:sz w:val="24"/>
                <w:szCs w:val="24"/>
              </w:rPr>
            </w:pPr>
            <w:r>
              <w:rPr>
                <w:rFonts w:hint="eastAsia" w:ascii="宋体" w:hAnsi="宋体" w:cs="宋体"/>
                <w:sz w:val="24"/>
                <w:szCs w:val="24"/>
              </w:rPr>
              <w:t>数量</w:t>
            </w:r>
          </w:p>
        </w:tc>
        <w:tc>
          <w:tcPr>
            <w:tcW w:w="7406" w:type="dxa"/>
            <w:vAlign w:val="center"/>
          </w:tcPr>
          <w:p w14:paraId="2E933A52">
            <w:pPr>
              <w:spacing w:line="440" w:lineRule="exact"/>
              <w:jc w:val="center"/>
              <w:rPr>
                <w:rFonts w:ascii="宋体" w:hAnsi="宋体" w:cs="宋体"/>
                <w:sz w:val="24"/>
                <w:szCs w:val="24"/>
              </w:rPr>
            </w:pPr>
            <w:r>
              <w:rPr>
                <w:rFonts w:hint="eastAsia" w:ascii="宋体" w:hAnsi="宋体" w:cs="宋体"/>
                <w:sz w:val="24"/>
                <w:szCs w:val="24"/>
              </w:rPr>
              <w:t>1项</w:t>
            </w:r>
          </w:p>
        </w:tc>
      </w:tr>
      <w:tr w14:paraId="1E2C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1790" w:type="dxa"/>
            <w:vAlign w:val="center"/>
          </w:tcPr>
          <w:p w14:paraId="072D08E1">
            <w:pPr>
              <w:spacing w:line="440" w:lineRule="exact"/>
              <w:jc w:val="center"/>
              <w:rPr>
                <w:rFonts w:ascii="宋体" w:hAnsi="宋体" w:cs="宋体"/>
                <w:sz w:val="24"/>
                <w:szCs w:val="24"/>
              </w:rPr>
            </w:pPr>
            <w:r>
              <w:rPr>
                <w:rFonts w:hint="eastAsia" w:ascii="宋体" w:hAnsi="宋体" w:cs="宋体"/>
                <w:sz w:val="24"/>
                <w:szCs w:val="24"/>
              </w:rPr>
              <w:t>服务期限</w:t>
            </w:r>
          </w:p>
        </w:tc>
        <w:tc>
          <w:tcPr>
            <w:tcW w:w="7406" w:type="dxa"/>
            <w:vAlign w:val="center"/>
          </w:tcPr>
          <w:p w14:paraId="0C22A321">
            <w:pPr>
              <w:spacing w:line="440" w:lineRule="exact"/>
              <w:jc w:val="center"/>
              <w:rPr>
                <w:rFonts w:ascii="宋体" w:hAnsi="宋体" w:cs="宋体"/>
                <w:sz w:val="24"/>
                <w:szCs w:val="24"/>
              </w:rPr>
            </w:pPr>
            <w:r>
              <w:rPr>
                <w:rFonts w:hint="eastAsia" w:ascii="宋体" w:hAnsi="宋体" w:cs="宋体"/>
                <w:sz w:val="24"/>
                <w:szCs w:val="24"/>
              </w:rPr>
              <w:t>合同签订后36个月</w:t>
            </w:r>
          </w:p>
        </w:tc>
      </w:tr>
      <w:tr w14:paraId="2B87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1790" w:type="dxa"/>
            <w:vAlign w:val="center"/>
          </w:tcPr>
          <w:p w14:paraId="4B4B6A2D">
            <w:pPr>
              <w:spacing w:line="440" w:lineRule="exact"/>
              <w:jc w:val="center"/>
              <w:rPr>
                <w:rFonts w:ascii="宋体" w:hAnsi="宋体" w:cs="宋体"/>
                <w:sz w:val="24"/>
                <w:szCs w:val="24"/>
              </w:rPr>
            </w:pPr>
            <w:r>
              <w:rPr>
                <w:rFonts w:hint="eastAsia" w:ascii="宋体" w:hAnsi="宋体" w:cs="宋体"/>
                <w:sz w:val="24"/>
                <w:szCs w:val="24"/>
              </w:rPr>
              <w:t>交付地点</w:t>
            </w:r>
          </w:p>
        </w:tc>
        <w:tc>
          <w:tcPr>
            <w:tcW w:w="7406" w:type="dxa"/>
            <w:vAlign w:val="center"/>
          </w:tcPr>
          <w:p w14:paraId="52FAE9F0">
            <w:pPr>
              <w:spacing w:line="440" w:lineRule="exact"/>
              <w:jc w:val="center"/>
              <w:rPr>
                <w:rFonts w:hint="default" w:ascii="宋体" w:hAnsi="宋体" w:eastAsia="宋体" w:cs="宋体"/>
                <w:sz w:val="24"/>
                <w:szCs w:val="24"/>
                <w:lang w:val="en-US" w:eastAsia="zh-CN"/>
              </w:rPr>
            </w:pPr>
            <w:r>
              <w:rPr>
                <w:rFonts w:hint="eastAsia" w:ascii="宋体" w:hAnsi="宋体" w:cs="宋体"/>
                <w:sz w:val="24"/>
                <w:szCs w:val="24"/>
              </w:rPr>
              <w:t>南昌市第一医院</w:t>
            </w:r>
            <w:r>
              <w:rPr>
                <w:rFonts w:hint="eastAsia" w:ascii="宋体" w:hAnsi="宋体" w:cs="宋体"/>
                <w:sz w:val="24"/>
                <w:szCs w:val="24"/>
                <w:lang w:val="en-US" w:eastAsia="zh-CN"/>
              </w:rPr>
              <w:t>东湖院区、青山湖院区、眼科医院、红谷滩门诊部</w:t>
            </w:r>
          </w:p>
        </w:tc>
      </w:tr>
    </w:tbl>
    <w:p w14:paraId="36295CF0">
      <w:pPr>
        <w:rPr>
          <w:rFonts w:hint="eastAsia" w:ascii="宋体" w:hAnsi="宋体" w:eastAsia="宋体" w:cs="宋体"/>
          <w:color w:val="auto"/>
          <w:sz w:val="24"/>
          <w:szCs w:val="24"/>
          <w:highlight w:val="none"/>
        </w:rPr>
      </w:pPr>
    </w:p>
    <w:p w14:paraId="4A02E56A">
      <w:pPr>
        <w:pStyle w:val="11"/>
        <w:keepLines w:val="0"/>
        <w:pageBreakBefore w:val="0"/>
        <w:widowControl w:val="0"/>
        <w:numPr>
          <w:ilvl w:val="0"/>
          <w:numId w:val="0"/>
        </w:numPr>
        <w:kinsoku/>
        <w:wordWrap/>
        <w:overflowPunct/>
        <w:topLinePunct w:val="0"/>
        <w:autoSpaceDE/>
        <w:autoSpaceDN/>
        <w:bidi w:val="0"/>
        <w:snapToGrid/>
        <w:spacing w:line="480" w:lineRule="exact"/>
        <w:ind w:leftChars="0"/>
        <w:textAlignment w:val="auto"/>
        <w:rPr>
          <w:rFonts w:hint="eastAsia" w:ascii="宋体" w:hAnsi="宋体" w:eastAsia="宋体" w:cs="宋体"/>
          <w:b/>
          <w:color w:val="auto"/>
          <w:sz w:val="24"/>
          <w:szCs w:val="24"/>
          <w:highlight w:val="none"/>
          <w:lang w:val="en-US" w:eastAsia="zh-CN"/>
        </w:rPr>
      </w:pPr>
      <w:r>
        <w:rPr>
          <w:rFonts w:hint="eastAsia" w:ascii="宋体" w:hAnsi="宋体" w:cs="宋体"/>
          <w:color w:val="auto"/>
          <w:sz w:val="24"/>
          <w:szCs w:val="24"/>
          <w:highlight w:val="none"/>
          <w:lang w:val="en-US" w:eastAsia="zh-CN"/>
        </w:rPr>
        <w:t>一</w:t>
      </w:r>
      <w:r>
        <w:rPr>
          <w:rFonts w:hint="eastAsia" w:ascii="宋体" w:hAnsi="宋体" w:eastAsia="宋体" w:cs="宋体"/>
          <w:b/>
          <w:color w:val="auto"/>
          <w:sz w:val="24"/>
          <w:szCs w:val="24"/>
          <w:highlight w:val="none"/>
          <w:lang w:val="en-US" w:eastAsia="zh-CN"/>
        </w:rPr>
        <w:t>、基础要求</w:t>
      </w:r>
    </w:p>
    <w:p w14:paraId="6FE93F5E">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eastAsia="zh-CN"/>
        </w:rPr>
        <w:t>1、工艺情况</w:t>
      </w:r>
    </w:p>
    <w:p w14:paraId="63E5B055">
      <w:pPr>
        <w:widowControl/>
        <w:spacing w:line="440" w:lineRule="exac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kern w:val="0"/>
          <w:sz w:val="24"/>
          <w:szCs w:val="24"/>
          <w:lang w:val="en-US" w:eastAsia="zh-CN"/>
          <w14:textFill>
            <w14:solidFill>
              <w14:schemeClr w14:val="tx1"/>
            </w14:solidFill>
          </w14:textFill>
        </w:rPr>
        <w:t>1</w:t>
      </w: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本污水处理采用格栅+调节池+好氧池+沉淀池+消毒池+采样池，三个院区的日处理量分别为：</w:t>
      </w:r>
      <w:r>
        <w:rPr>
          <w:rFonts w:hint="eastAsia" w:ascii="宋体" w:hAnsi="宋体" w:cs="宋体"/>
          <w:color w:val="000000" w:themeColor="text1"/>
          <w:kern w:val="0"/>
          <w:sz w:val="24"/>
          <w:szCs w:val="24"/>
          <w:lang w:eastAsia="zh-CN"/>
          <w14:textFill>
            <w14:solidFill>
              <w14:schemeClr w14:val="tx1"/>
            </w14:solidFill>
          </w14:textFill>
        </w:rPr>
        <w:t>东湖院区</w:t>
      </w:r>
      <w:r>
        <w:rPr>
          <w:rFonts w:hint="eastAsia" w:ascii="宋体" w:hAnsi="宋体" w:cs="宋体"/>
          <w:color w:val="000000" w:themeColor="text1"/>
          <w:kern w:val="0"/>
          <w:sz w:val="24"/>
          <w:szCs w:val="24"/>
          <w14:textFill>
            <w14:solidFill>
              <w14:schemeClr w14:val="tx1"/>
            </w14:solidFill>
          </w14:textFill>
        </w:rPr>
        <w:t>600m</w:t>
      </w:r>
      <w:r>
        <w:rPr>
          <w:rFonts w:hint="eastAsia" w:ascii="宋体" w:hAnsi="宋体" w:cs="宋体"/>
          <w:color w:val="000000" w:themeColor="text1"/>
          <w:kern w:val="0"/>
          <w:sz w:val="24"/>
          <w:szCs w:val="24"/>
          <w:vertAlign w:val="superscript"/>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/d、</w:t>
      </w:r>
      <w:r>
        <w:rPr>
          <w:rFonts w:hint="eastAsia" w:ascii="宋体" w:hAnsi="宋体" w:cs="宋体"/>
          <w:color w:val="000000" w:themeColor="text1"/>
          <w:kern w:val="0"/>
          <w:sz w:val="24"/>
          <w:szCs w:val="24"/>
          <w:lang w:eastAsia="zh-CN"/>
          <w14:textFill>
            <w14:solidFill>
              <w14:schemeClr w14:val="tx1"/>
            </w14:solidFill>
          </w14:textFill>
        </w:rPr>
        <w:t>青山湖院区</w:t>
      </w:r>
      <w:r>
        <w:rPr>
          <w:rFonts w:hint="eastAsia" w:ascii="宋体" w:hAnsi="宋体" w:cs="宋体"/>
          <w:color w:val="000000" w:themeColor="text1"/>
          <w:kern w:val="0"/>
          <w:sz w:val="24"/>
          <w:szCs w:val="24"/>
          <w14:textFill>
            <w14:solidFill>
              <w14:schemeClr w14:val="tx1"/>
            </w14:solidFill>
          </w14:textFill>
        </w:rPr>
        <w:t>200m</w:t>
      </w:r>
      <w:r>
        <w:rPr>
          <w:rFonts w:hint="eastAsia" w:ascii="宋体" w:hAnsi="宋体" w:cs="宋体"/>
          <w:color w:val="000000" w:themeColor="text1"/>
          <w:kern w:val="0"/>
          <w:sz w:val="24"/>
          <w:szCs w:val="24"/>
          <w:vertAlign w:val="superscript"/>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/d、眼科100m</w:t>
      </w:r>
      <w:r>
        <w:rPr>
          <w:rFonts w:hint="eastAsia" w:ascii="宋体" w:hAnsi="宋体" w:cs="宋体"/>
          <w:color w:val="000000" w:themeColor="text1"/>
          <w:kern w:val="0"/>
          <w:sz w:val="24"/>
          <w:szCs w:val="24"/>
          <w:vertAlign w:val="superscript"/>
          <w14:textFill>
            <w14:solidFill>
              <w14:schemeClr w14:val="tx1"/>
            </w14:solidFill>
          </w14:textFill>
        </w:rPr>
        <w:t>3</w:t>
      </w:r>
      <w:r>
        <w:rPr>
          <w:rFonts w:hint="eastAsia" w:ascii="宋体" w:hAnsi="宋体" w:cs="宋体"/>
          <w:color w:val="000000" w:themeColor="text1"/>
          <w:kern w:val="0"/>
          <w:sz w:val="24"/>
          <w:szCs w:val="24"/>
          <w14:textFill>
            <w14:solidFill>
              <w14:schemeClr w14:val="tx1"/>
            </w14:solidFill>
          </w14:textFill>
        </w:rPr>
        <w:t>/d；</w:t>
      </w:r>
    </w:p>
    <w:p w14:paraId="34E7A21F">
      <w:pPr>
        <w:widowControl/>
        <w:spacing w:line="440" w:lineRule="exac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kern w:val="0"/>
          <w:sz w:val="24"/>
          <w:szCs w:val="24"/>
          <w:lang w:val="en-US" w:eastAsia="zh-CN"/>
          <w14:textFill>
            <w14:solidFill>
              <w14:schemeClr w14:val="tx1"/>
            </w14:solidFill>
          </w14:textFill>
        </w:rPr>
        <w:t>2</w:t>
      </w: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建筑物：</w:t>
      </w:r>
      <w:r>
        <w:rPr>
          <w:rFonts w:hint="eastAsia" w:ascii="宋体" w:hAnsi="宋体" w:cs="宋体"/>
          <w:color w:val="000000" w:themeColor="text1"/>
          <w:kern w:val="0"/>
          <w:sz w:val="24"/>
          <w:szCs w:val="24"/>
          <w:lang w:eastAsia="zh-CN"/>
          <w14:textFill>
            <w14:solidFill>
              <w14:schemeClr w14:val="tx1"/>
            </w14:solidFill>
          </w14:textFill>
        </w:rPr>
        <w:t>东湖院区</w:t>
      </w:r>
      <w:r>
        <w:rPr>
          <w:rFonts w:hint="eastAsia" w:ascii="宋体" w:hAnsi="宋体" w:cs="宋体"/>
          <w:color w:val="000000" w:themeColor="text1"/>
          <w:kern w:val="0"/>
          <w:sz w:val="24"/>
          <w:szCs w:val="24"/>
          <w14:textFill>
            <w14:solidFill>
              <w14:schemeClr w14:val="tx1"/>
            </w14:solidFill>
          </w14:textFill>
        </w:rPr>
        <w:t>100</w:t>
      </w:r>
      <w:r>
        <w:rPr>
          <w:rFonts w:hint="eastAsia" w:ascii="宋体" w:hAnsi="宋体" w:cs="宋体"/>
          <w:color w:val="000000" w:themeColor="text1"/>
          <w:kern w:val="0"/>
          <w:sz w:val="24"/>
          <w:szCs w:val="24"/>
          <w:lang w:val="en-US"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w:t>
      </w:r>
      <w:r>
        <w:rPr>
          <w:rFonts w:hint="eastAsia" w:ascii="宋体" w:hAnsi="宋体" w:cs="宋体"/>
          <w:color w:val="000000" w:themeColor="text1"/>
          <w:kern w:val="0"/>
          <w:sz w:val="24"/>
          <w:szCs w:val="24"/>
          <w:lang w:eastAsia="zh-CN"/>
          <w14:textFill>
            <w14:solidFill>
              <w14:schemeClr w14:val="tx1"/>
            </w14:solidFill>
          </w14:textFill>
        </w:rPr>
        <w:t>青山湖院区</w:t>
      </w:r>
      <w:r>
        <w:rPr>
          <w:rFonts w:hint="eastAsia" w:ascii="宋体" w:hAnsi="宋体" w:cs="宋体"/>
          <w:color w:val="000000" w:themeColor="text1"/>
          <w:kern w:val="0"/>
          <w:sz w:val="24"/>
          <w:szCs w:val="24"/>
          <w14:textFill>
            <w14:solidFill>
              <w14:schemeClr w14:val="tx1"/>
            </w14:solidFill>
          </w14:textFill>
        </w:rPr>
        <w:t>30</w:t>
      </w:r>
      <w:r>
        <w:rPr>
          <w:rFonts w:hint="eastAsia" w:ascii="宋体" w:hAnsi="宋体" w:cs="宋体"/>
          <w:color w:val="000000" w:themeColor="text1"/>
          <w:kern w:val="0"/>
          <w:sz w:val="24"/>
          <w:szCs w:val="24"/>
          <w:lang w:val="en-US"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、眼科</w:t>
      </w:r>
      <w:r>
        <w:rPr>
          <w:rFonts w:hint="eastAsia" w:ascii="宋体" w:hAnsi="宋体" w:cs="宋体"/>
          <w:color w:val="000000" w:themeColor="text1"/>
          <w:kern w:val="0"/>
          <w:sz w:val="24"/>
          <w:szCs w:val="24"/>
          <w:lang w:val="en-US" w:eastAsia="zh-CN"/>
          <w14:textFill>
            <w14:solidFill>
              <w14:schemeClr w14:val="tx1"/>
            </w14:solidFill>
          </w14:textFill>
        </w:rPr>
        <w:t>医院</w:t>
      </w:r>
      <w:r>
        <w:rPr>
          <w:rFonts w:hint="eastAsia" w:ascii="宋体" w:hAnsi="宋体" w:cs="宋体"/>
          <w:color w:val="000000" w:themeColor="text1"/>
          <w:kern w:val="0"/>
          <w:sz w:val="24"/>
          <w:szCs w:val="24"/>
          <w14:textFill>
            <w14:solidFill>
              <w14:schemeClr w14:val="tx1"/>
            </w14:solidFill>
          </w14:textFill>
        </w:rPr>
        <w:t>20</w:t>
      </w:r>
      <w:r>
        <w:rPr>
          <w:rFonts w:hint="eastAsia" w:ascii="宋体" w:hAnsi="宋体" w:cs="宋体"/>
          <w:color w:val="000000" w:themeColor="text1"/>
          <w:kern w:val="0"/>
          <w:sz w:val="24"/>
          <w:szCs w:val="24"/>
          <w:lang w:val="en-US"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w:t>
      </w:r>
    </w:p>
    <w:p w14:paraId="47EF9544">
      <w:pPr>
        <w:widowControl/>
        <w:spacing w:line="440" w:lineRule="exact"/>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kern w:val="0"/>
          <w:sz w:val="24"/>
          <w:szCs w:val="24"/>
          <w:lang w:val="en-US" w:eastAsia="zh-CN"/>
          <w14:textFill>
            <w14:solidFill>
              <w14:schemeClr w14:val="tx1"/>
            </w14:solidFill>
          </w14:textFill>
        </w:rPr>
        <w:t>3</w:t>
      </w: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构筑物：格栅池、调节池、好氧池、沉淀池、消毒池、采样池；</w:t>
      </w:r>
    </w:p>
    <w:p w14:paraId="0B951F89">
      <w:pPr>
        <w:widowControl/>
        <w:spacing w:line="440" w:lineRule="exact"/>
        <w:rPr>
          <w:rFonts w:ascii="宋体" w:hAnsi="宋体" w:cs="宋体"/>
          <w:b/>
          <w:bCs/>
          <w:color w:val="FF0000"/>
          <w:kern w:val="0"/>
          <w:sz w:val="24"/>
          <w:szCs w:val="24"/>
        </w:rPr>
      </w:pP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kern w:val="0"/>
          <w:sz w:val="24"/>
          <w:szCs w:val="24"/>
          <w:lang w:val="en-US" w:eastAsia="zh-CN"/>
          <w14:textFill>
            <w14:solidFill>
              <w14:schemeClr w14:val="tx1"/>
            </w14:solidFill>
          </w14:textFill>
        </w:rPr>
        <w:t>4</w:t>
      </w:r>
      <w:r>
        <w:rPr>
          <w:rFonts w:hint="eastAsia" w:ascii="宋体" w:hAnsi="宋体" w:cs="宋体"/>
          <w:color w:val="000000" w:themeColor="text1"/>
          <w:kern w:val="0"/>
          <w:sz w:val="24"/>
          <w:szCs w:val="24"/>
          <w:lang w:eastAsia="zh-CN"/>
          <w14:textFill>
            <w14:solidFill>
              <w14:schemeClr w14:val="tx1"/>
            </w14:solidFill>
          </w14:textFill>
        </w:rPr>
        <w:t>）</w:t>
      </w:r>
      <w:r>
        <w:rPr>
          <w:rFonts w:hint="eastAsia" w:ascii="宋体" w:hAnsi="宋体" w:cs="宋体"/>
          <w:color w:val="000000" w:themeColor="text1"/>
          <w:kern w:val="0"/>
          <w:sz w:val="24"/>
          <w:szCs w:val="24"/>
          <w14:textFill>
            <w14:solidFill>
              <w14:schemeClr w14:val="tx1"/>
            </w14:solidFill>
          </w14:textFill>
        </w:rPr>
        <w:t>主要设备、设施：格栅、提升泵、液位控制、投药器、风机、加药泵、药水混合装置、电控制系统等。</w:t>
      </w:r>
    </w:p>
    <w:p w14:paraId="37A1A24B">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5</w:t>
      </w:r>
      <w:r>
        <w:rPr>
          <w:rFonts w:hint="eastAsia" w:ascii="宋体" w:hAnsi="宋体" w:cs="宋体"/>
          <w:kern w:val="0"/>
          <w:sz w:val="24"/>
          <w:szCs w:val="24"/>
          <w:lang w:eastAsia="zh-CN"/>
        </w:rPr>
        <w:t>）</w:t>
      </w:r>
      <w:r>
        <w:rPr>
          <w:rFonts w:hint="eastAsia" w:ascii="宋体" w:hAnsi="宋体" w:eastAsia="宋体" w:cs="宋体"/>
          <w:color w:val="auto"/>
          <w:sz w:val="24"/>
          <w:szCs w:val="24"/>
          <w:highlight w:val="none"/>
        </w:rPr>
        <w:t>工艺流程图：详见附件。</w:t>
      </w:r>
    </w:p>
    <w:p w14:paraId="4A42F09D">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基本要求</w:t>
      </w:r>
    </w:p>
    <w:p w14:paraId="24AB1EFE">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参与调研单位</w:t>
      </w:r>
      <w:r>
        <w:rPr>
          <w:rFonts w:hint="eastAsia" w:ascii="宋体" w:hAnsi="宋体" w:eastAsia="宋体" w:cs="宋体"/>
          <w:color w:val="auto"/>
          <w:sz w:val="24"/>
          <w:szCs w:val="24"/>
          <w:highlight w:val="none"/>
        </w:rPr>
        <w:t>在满足</w:t>
      </w:r>
      <w:r>
        <w:rPr>
          <w:rFonts w:hint="eastAsia" w:ascii="宋体" w:hAnsi="宋体" w:eastAsia="宋体" w:cs="宋体"/>
          <w:color w:val="auto"/>
          <w:sz w:val="24"/>
          <w:szCs w:val="24"/>
          <w:highlight w:val="none"/>
          <w:lang w:val="en-US" w:eastAsia="zh-CN"/>
        </w:rPr>
        <w:t>调研</w:t>
      </w:r>
      <w:r>
        <w:rPr>
          <w:rFonts w:hint="eastAsia" w:ascii="宋体" w:hAnsi="宋体" w:eastAsia="宋体" w:cs="宋体"/>
          <w:color w:val="auto"/>
          <w:sz w:val="24"/>
          <w:szCs w:val="24"/>
          <w:highlight w:val="none"/>
        </w:rPr>
        <w:t>人基本技术要求的情况下按清单项目列好报价清单，计算总价；</w:t>
      </w:r>
    </w:p>
    <w:p w14:paraId="13827B2B">
      <w:pPr>
        <w:widowControl/>
        <w:spacing w:line="440" w:lineRule="exact"/>
        <w:jc w:val="left"/>
        <w:rPr>
          <w:rFonts w:ascii="宋体" w:hAnsi="宋体" w:cs="宋体"/>
          <w:b/>
          <w:bCs/>
          <w:kern w:val="0"/>
          <w:sz w:val="24"/>
          <w:szCs w:val="24"/>
        </w:rPr>
      </w:pPr>
      <w:r>
        <w:rPr>
          <w:rFonts w:hint="eastAsia" w:ascii="宋体" w:hAnsi="宋体" w:cs="宋体"/>
          <w:b/>
          <w:bCs/>
          <w:kern w:val="0"/>
          <w:sz w:val="24"/>
          <w:szCs w:val="24"/>
        </w:rPr>
        <w:t>2、主要依据</w:t>
      </w:r>
    </w:p>
    <w:p w14:paraId="4949F350">
      <w:pPr>
        <w:widowControl/>
        <w:spacing w:line="440" w:lineRule="exact"/>
        <w:jc w:val="left"/>
        <w:rPr>
          <w:rFonts w:ascii="宋体" w:hAnsi="宋体" w:cs="宋体"/>
          <w:kern w:val="0"/>
          <w:sz w:val="24"/>
          <w:szCs w:val="24"/>
        </w:rPr>
      </w:pPr>
      <w:r>
        <w:rPr>
          <w:rFonts w:hint="eastAsia" w:ascii="宋体" w:hAnsi="宋体" w:cs="宋体"/>
          <w:kern w:val="0"/>
          <w:sz w:val="24"/>
          <w:szCs w:val="24"/>
        </w:rPr>
        <w:t>2.1《中华人民共和国环境保护法》；</w:t>
      </w:r>
    </w:p>
    <w:p w14:paraId="70260377">
      <w:pPr>
        <w:widowControl/>
        <w:spacing w:line="440" w:lineRule="exact"/>
        <w:jc w:val="left"/>
        <w:rPr>
          <w:rFonts w:ascii="宋体" w:hAnsi="宋体" w:cs="宋体"/>
          <w:kern w:val="0"/>
          <w:sz w:val="24"/>
          <w:szCs w:val="24"/>
        </w:rPr>
      </w:pPr>
      <w:r>
        <w:rPr>
          <w:rFonts w:hint="eastAsia" w:ascii="宋体" w:hAnsi="宋体" w:cs="宋体"/>
          <w:kern w:val="0"/>
          <w:sz w:val="24"/>
          <w:szCs w:val="24"/>
        </w:rPr>
        <w:t>2.2《中华人民共和国水污染防治法》；</w:t>
      </w:r>
    </w:p>
    <w:p w14:paraId="53326DAD">
      <w:pPr>
        <w:widowControl/>
        <w:spacing w:line="440" w:lineRule="exact"/>
        <w:jc w:val="left"/>
        <w:rPr>
          <w:rFonts w:ascii="宋体" w:hAnsi="宋体" w:cs="宋体"/>
          <w:kern w:val="0"/>
          <w:sz w:val="24"/>
          <w:szCs w:val="24"/>
        </w:rPr>
      </w:pPr>
      <w:r>
        <w:rPr>
          <w:rFonts w:hint="eastAsia" w:ascii="宋体" w:hAnsi="宋体" w:cs="宋体"/>
          <w:kern w:val="0"/>
          <w:sz w:val="24"/>
          <w:szCs w:val="24"/>
        </w:rPr>
        <w:t>2.3国家《医疗机构水污染物排放标准》（GB18466-2005）；</w:t>
      </w:r>
    </w:p>
    <w:p w14:paraId="3E28D1DD">
      <w:pPr>
        <w:widowControl/>
        <w:spacing w:line="440" w:lineRule="exact"/>
        <w:jc w:val="left"/>
        <w:rPr>
          <w:rFonts w:ascii="宋体" w:hAnsi="宋体" w:cs="宋体"/>
          <w:kern w:val="0"/>
          <w:sz w:val="24"/>
          <w:szCs w:val="24"/>
        </w:rPr>
      </w:pPr>
      <w:r>
        <w:rPr>
          <w:rFonts w:hint="eastAsia" w:ascii="宋体" w:hAnsi="宋体" w:cs="宋体"/>
          <w:kern w:val="0"/>
          <w:sz w:val="24"/>
          <w:szCs w:val="24"/>
        </w:rPr>
        <w:t>2.4《医院污水处理设计规范》（CECS07-2004）；</w:t>
      </w:r>
    </w:p>
    <w:p w14:paraId="359790A3">
      <w:pPr>
        <w:widowControl/>
        <w:spacing w:line="440" w:lineRule="exact"/>
        <w:jc w:val="left"/>
        <w:rPr>
          <w:rFonts w:ascii="宋体" w:hAnsi="宋体" w:cs="宋体"/>
          <w:kern w:val="0"/>
          <w:sz w:val="24"/>
          <w:szCs w:val="24"/>
        </w:rPr>
      </w:pPr>
      <w:r>
        <w:rPr>
          <w:rFonts w:hint="eastAsia" w:ascii="宋体" w:hAnsi="宋体" w:cs="宋体"/>
          <w:kern w:val="0"/>
          <w:sz w:val="24"/>
          <w:szCs w:val="24"/>
        </w:rPr>
        <w:t>2.5《室外排水设计规范》（GBJ14-87）（1997版）；</w:t>
      </w:r>
    </w:p>
    <w:p w14:paraId="07231F58">
      <w:pPr>
        <w:widowControl/>
        <w:spacing w:line="440" w:lineRule="exact"/>
        <w:jc w:val="left"/>
        <w:rPr>
          <w:rFonts w:ascii="宋体" w:hAnsi="宋体" w:cs="宋体"/>
          <w:kern w:val="0"/>
          <w:sz w:val="24"/>
          <w:szCs w:val="24"/>
        </w:rPr>
      </w:pPr>
      <w:r>
        <w:rPr>
          <w:rFonts w:hint="eastAsia" w:ascii="宋体" w:hAnsi="宋体" w:cs="宋体"/>
          <w:kern w:val="0"/>
          <w:sz w:val="24"/>
          <w:szCs w:val="24"/>
        </w:rPr>
        <w:t>2.6采购人提供的平面规划图；</w:t>
      </w:r>
    </w:p>
    <w:p w14:paraId="67520F28">
      <w:pPr>
        <w:widowControl/>
        <w:spacing w:line="440" w:lineRule="exact"/>
        <w:jc w:val="left"/>
        <w:rPr>
          <w:rFonts w:ascii="宋体" w:hAnsi="宋体" w:cs="宋体"/>
          <w:kern w:val="0"/>
          <w:sz w:val="24"/>
          <w:szCs w:val="24"/>
        </w:rPr>
      </w:pPr>
      <w:r>
        <w:rPr>
          <w:rFonts w:hint="eastAsia" w:ascii="宋体" w:hAnsi="宋体" w:cs="宋体"/>
          <w:kern w:val="0"/>
          <w:sz w:val="24"/>
          <w:szCs w:val="24"/>
        </w:rPr>
        <w:t>2.7采购人提供的有关废水的水质、水量资料；</w:t>
      </w:r>
    </w:p>
    <w:p w14:paraId="7932A829">
      <w:pPr>
        <w:widowControl/>
        <w:spacing w:line="440" w:lineRule="exact"/>
        <w:jc w:val="left"/>
        <w:rPr>
          <w:rFonts w:ascii="宋体" w:hAnsi="宋体" w:cs="宋体"/>
          <w:kern w:val="0"/>
          <w:sz w:val="24"/>
          <w:szCs w:val="24"/>
        </w:rPr>
      </w:pPr>
      <w:r>
        <w:rPr>
          <w:rFonts w:hint="eastAsia" w:ascii="宋体" w:hAnsi="宋体" w:cs="宋体"/>
          <w:kern w:val="0"/>
          <w:sz w:val="24"/>
          <w:szCs w:val="24"/>
        </w:rPr>
        <w:t>2.8供应商勘察现场或调查的有关内容；</w:t>
      </w:r>
    </w:p>
    <w:p w14:paraId="3AF3FB88">
      <w:pPr>
        <w:widowControl/>
        <w:spacing w:line="440" w:lineRule="exact"/>
        <w:jc w:val="left"/>
        <w:rPr>
          <w:rFonts w:ascii="宋体" w:hAnsi="宋体" w:cs="宋体"/>
          <w:kern w:val="0"/>
          <w:sz w:val="24"/>
          <w:szCs w:val="24"/>
        </w:rPr>
      </w:pPr>
      <w:r>
        <w:rPr>
          <w:rFonts w:hint="eastAsia" w:ascii="宋体" w:hAnsi="宋体" w:cs="宋体"/>
          <w:kern w:val="0"/>
          <w:sz w:val="24"/>
          <w:szCs w:val="24"/>
        </w:rPr>
        <w:t>2.9《电气设计规范》；</w:t>
      </w:r>
    </w:p>
    <w:p w14:paraId="7AB4AD49">
      <w:pPr>
        <w:widowControl/>
        <w:spacing w:line="440" w:lineRule="exact"/>
        <w:jc w:val="left"/>
        <w:rPr>
          <w:rFonts w:ascii="宋体" w:hAnsi="宋体" w:cs="宋体"/>
          <w:kern w:val="0"/>
          <w:sz w:val="24"/>
          <w:szCs w:val="24"/>
        </w:rPr>
      </w:pPr>
      <w:r>
        <w:rPr>
          <w:rFonts w:hint="eastAsia" w:ascii="宋体" w:hAnsi="宋体" w:cs="宋体"/>
          <w:kern w:val="0"/>
          <w:sz w:val="24"/>
          <w:szCs w:val="24"/>
        </w:rPr>
        <w:t>2.10《机械设备安装工程施工及验收规范》；</w:t>
      </w:r>
    </w:p>
    <w:p w14:paraId="6FB98346">
      <w:pPr>
        <w:widowControl/>
        <w:spacing w:line="440" w:lineRule="exact"/>
        <w:jc w:val="left"/>
        <w:rPr>
          <w:rFonts w:ascii="宋体" w:hAnsi="宋体" w:cs="宋体"/>
          <w:kern w:val="0"/>
          <w:sz w:val="24"/>
          <w:szCs w:val="24"/>
        </w:rPr>
      </w:pPr>
      <w:r>
        <w:rPr>
          <w:rFonts w:hint="eastAsia" w:ascii="宋体" w:hAnsi="宋体" w:cs="宋体"/>
          <w:kern w:val="0"/>
          <w:sz w:val="24"/>
          <w:szCs w:val="24"/>
        </w:rPr>
        <w:t>2.11《给排水构筑物施及验收规范工》；</w:t>
      </w:r>
    </w:p>
    <w:p w14:paraId="206E609A">
      <w:pPr>
        <w:widowControl/>
        <w:spacing w:line="440" w:lineRule="exact"/>
        <w:jc w:val="left"/>
        <w:rPr>
          <w:rFonts w:ascii="宋体" w:hAnsi="宋体" w:cs="宋体"/>
          <w:kern w:val="0"/>
          <w:sz w:val="24"/>
          <w:szCs w:val="24"/>
        </w:rPr>
      </w:pPr>
      <w:r>
        <w:rPr>
          <w:rFonts w:hint="eastAsia" w:ascii="宋体" w:hAnsi="宋体" w:cs="宋体"/>
          <w:kern w:val="0"/>
          <w:sz w:val="24"/>
          <w:szCs w:val="24"/>
        </w:rPr>
        <w:t>2.12《建筑给排水设计规范》；</w:t>
      </w:r>
    </w:p>
    <w:p w14:paraId="00BE7D69">
      <w:pPr>
        <w:widowControl/>
        <w:spacing w:line="440" w:lineRule="exact"/>
        <w:jc w:val="left"/>
        <w:rPr>
          <w:rFonts w:ascii="宋体" w:hAnsi="宋体" w:cs="宋体"/>
          <w:kern w:val="0"/>
          <w:sz w:val="24"/>
          <w:szCs w:val="24"/>
        </w:rPr>
      </w:pPr>
      <w:r>
        <w:rPr>
          <w:rFonts w:hint="eastAsia" w:ascii="宋体" w:hAnsi="宋体" w:cs="宋体"/>
          <w:kern w:val="0"/>
          <w:sz w:val="24"/>
          <w:szCs w:val="24"/>
        </w:rPr>
        <w:t>2.13《城市区域环境噪声标准》（GB3096-93）；</w:t>
      </w:r>
    </w:p>
    <w:p w14:paraId="3E92AF84">
      <w:pPr>
        <w:widowControl/>
        <w:spacing w:line="440" w:lineRule="exact"/>
        <w:jc w:val="left"/>
        <w:rPr>
          <w:rFonts w:ascii="宋体" w:hAnsi="宋体" w:cs="宋体"/>
          <w:kern w:val="0"/>
          <w:sz w:val="24"/>
          <w:szCs w:val="24"/>
        </w:rPr>
      </w:pPr>
      <w:r>
        <w:rPr>
          <w:rFonts w:hint="eastAsia" w:ascii="宋体" w:hAnsi="宋体" w:cs="宋体"/>
          <w:kern w:val="0"/>
          <w:sz w:val="24"/>
          <w:szCs w:val="24"/>
        </w:rPr>
        <w:t>2.14《混凝土结构设计规范》（GB350010-2002）；</w:t>
      </w:r>
    </w:p>
    <w:p w14:paraId="3DDB17BC">
      <w:pPr>
        <w:widowControl/>
        <w:spacing w:line="440" w:lineRule="exact"/>
        <w:jc w:val="left"/>
        <w:rPr>
          <w:rFonts w:hint="eastAsia" w:ascii="宋体" w:hAnsi="宋体" w:cs="宋体"/>
          <w:kern w:val="0"/>
          <w:sz w:val="24"/>
          <w:szCs w:val="24"/>
        </w:rPr>
      </w:pPr>
      <w:r>
        <w:rPr>
          <w:rFonts w:hint="eastAsia" w:ascii="宋体" w:hAnsi="宋体" w:cs="宋体"/>
          <w:kern w:val="0"/>
          <w:sz w:val="24"/>
          <w:szCs w:val="24"/>
        </w:rPr>
        <w:t>2.15供应商在同类污水处理方面的设计经验和工程实践。</w:t>
      </w:r>
    </w:p>
    <w:p w14:paraId="18FDF827">
      <w:pPr>
        <w:widowControl/>
        <w:spacing w:line="440" w:lineRule="exact"/>
        <w:jc w:val="left"/>
        <w:rPr>
          <w:rFonts w:ascii="宋体" w:hAnsi="宋体" w:cs="宋体"/>
          <w:b/>
          <w:bCs/>
          <w:kern w:val="0"/>
          <w:sz w:val="24"/>
          <w:szCs w:val="24"/>
        </w:rPr>
      </w:pPr>
      <w:r>
        <w:rPr>
          <w:rFonts w:hint="eastAsia" w:ascii="宋体" w:hAnsi="宋体" w:cs="宋体"/>
          <w:b/>
          <w:bCs/>
          <w:kern w:val="0"/>
          <w:sz w:val="24"/>
          <w:szCs w:val="24"/>
        </w:rPr>
        <w:t>3、服务范围及成交供应商责任</w:t>
      </w:r>
    </w:p>
    <w:p w14:paraId="39529E95">
      <w:pPr>
        <w:widowControl/>
        <w:spacing w:line="440" w:lineRule="exact"/>
        <w:jc w:val="left"/>
        <w:rPr>
          <w:rFonts w:ascii="宋体" w:hAnsi="宋体" w:cs="宋体"/>
          <w:b/>
          <w:bCs/>
          <w:kern w:val="0"/>
          <w:sz w:val="24"/>
          <w:szCs w:val="24"/>
        </w:rPr>
      </w:pPr>
      <w:r>
        <w:rPr>
          <w:rFonts w:hint="eastAsia" w:ascii="宋体" w:hAnsi="宋体" w:cs="宋体"/>
          <w:sz w:val="24"/>
          <w:szCs w:val="24"/>
        </w:rPr>
        <w:t>3.1受托单位委派持上岗证操作工进行日常管理；</w:t>
      </w:r>
    </w:p>
    <w:p w14:paraId="45C4E24A">
      <w:pPr>
        <w:spacing w:line="440" w:lineRule="exact"/>
        <w:rPr>
          <w:rFonts w:ascii="宋体" w:hAnsi="宋体" w:cs="宋体"/>
          <w:sz w:val="24"/>
          <w:szCs w:val="24"/>
        </w:rPr>
      </w:pPr>
      <w:r>
        <w:rPr>
          <w:rFonts w:hint="eastAsia" w:ascii="宋体" w:hAnsi="宋体" w:cs="宋体"/>
          <w:sz w:val="24"/>
          <w:szCs w:val="24"/>
        </w:rPr>
        <w:t>3.2受托单位承担污水站全部消毒药品投加、药品保管；</w:t>
      </w:r>
    </w:p>
    <w:p w14:paraId="4451ECA7">
      <w:pPr>
        <w:spacing w:line="440" w:lineRule="exact"/>
        <w:rPr>
          <w:rFonts w:ascii="宋体" w:hAnsi="宋体" w:cs="宋体"/>
          <w:sz w:val="24"/>
          <w:szCs w:val="24"/>
        </w:rPr>
      </w:pPr>
      <w:r>
        <w:rPr>
          <w:rFonts w:hint="eastAsia" w:ascii="宋体" w:hAnsi="宋体" w:cs="宋体"/>
          <w:sz w:val="24"/>
          <w:szCs w:val="24"/>
        </w:rPr>
        <w:t>3.3受托单位承担污水站全部设备、设施的日常保养；</w:t>
      </w:r>
    </w:p>
    <w:p w14:paraId="5DBCBD12">
      <w:pPr>
        <w:spacing w:line="440" w:lineRule="exact"/>
        <w:rPr>
          <w:rFonts w:ascii="宋体" w:hAnsi="宋体" w:cs="宋体"/>
          <w:sz w:val="24"/>
          <w:szCs w:val="24"/>
        </w:rPr>
      </w:pPr>
      <w:r>
        <w:rPr>
          <w:rFonts w:hint="eastAsia" w:ascii="宋体" w:hAnsi="宋体" w:cs="宋体"/>
          <w:sz w:val="24"/>
          <w:szCs w:val="24"/>
        </w:rPr>
        <w:t>3.4受托单位承担污水站全部日常监测，并做好记录；</w:t>
      </w:r>
    </w:p>
    <w:p w14:paraId="00FA7A79">
      <w:pPr>
        <w:widowControl/>
        <w:spacing w:line="440" w:lineRule="exact"/>
        <w:jc w:val="left"/>
        <w:rPr>
          <w:rFonts w:ascii="宋体" w:hAnsi="宋体" w:cs="宋体"/>
          <w:sz w:val="24"/>
          <w:szCs w:val="24"/>
        </w:rPr>
      </w:pPr>
      <w:r>
        <w:rPr>
          <w:rFonts w:hint="eastAsia" w:ascii="宋体" w:hAnsi="宋体" w:cs="宋体"/>
          <w:sz w:val="24"/>
          <w:szCs w:val="24"/>
        </w:rPr>
        <w:t>3.5全面达到污水排放标准，如有超标，受托单位承担全部处罚责任；</w:t>
      </w:r>
    </w:p>
    <w:p w14:paraId="5FF19191">
      <w:pPr>
        <w:widowControl/>
        <w:spacing w:line="440" w:lineRule="exact"/>
        <w:jc w:val="left"/>
        <w:rPr>
          <w:rFonts w:ascii="宋体" w:hAnsi="宋体" w:cs="宋体"/>
          <w:sz w:val="24"/>
          <w:szCs w:val="24"/>
        </w:rPr>
      </w:pPr>
      <w:r>
        <w:rPr>
          <w:rFonts w:hint="eastAsia" w:ascii="宋体" w:hAnsi="宋体" w:cs="宋体"/>
          <w:sz w:val="24"/>
          <w:szCs w:val="24"/>
        </w:rPr>
        <w:t>3.6 受托单位每月向第三方检测机构送检</w:t>
      </w:r>
      <w:r>
        <w:rPr>
          <w:rFonts w:hint="eastAsia" w:ascii="宋体" w:hAnsi="宋体" w:cs="宋体"/>
          <w:sz w:val="24"/>
          <w:szCs w:val="24"/>
          <w:lang w:val="en-US" w:eastAsia="zh-CN"/>
        </w:rPr>
        <w:t>四</w:t>
      </w:r>
      <w:r>
        <w:rPr>
          <w:rFonts w:hint="eastAsia" w:ascii="宋体" w:hAnsi="宋体" w:cs="宋体"/>
          <w:sz w:val="24"/>
          <w:szCs w:val="24"/>
        </w:rPr>
        <w:t>个污水站水样并分别取得报告；</w:t>
      </w:r>
    </w:p>
    <w:p w14:paraId="0F2FA8EA">
      <w:pPr>
        <w:widowControl/>
        <w:spacing w:line="440" w:lineRule="exact"/>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3.7 受托单位负责污水站流量数据的运维及平台管理；</w:t>
      </w:r>
    </w:p>
    <w:p w14:paraId="052E3619">
      <w:pPr>
        <w:widowControl/>
        <w:spacing w:line="440" w:lineRule="exact"/>
        <w:jc w:val="left"/>
        <w:rPr>
          <w:rFonts w:hint="default" w:eastAsia="宋体"/>
          <w:lang w:val="en-US" w:eastAsia="zh-CN"/>
        </w:rPr>
      </w:pPr>
      <w:r>
        <w:rPr>
          <w:rFonts w:hint="eastAsia" w:ascii="宋体" w:hAnsi="宋体" w:cs="宋体"/>
          <w:color w:val="000000" w:themeColor="text1"/>
          <w:sz w:val="24"/>
          <w:szCs w:val="24"/>
          <w14:textFill>
            <w14:solidFill>
              <w14:schemeClr w14:val="tx1"/>
            </w14:solidFill>
          </w14:textFill>
        </w:rPr>
        <w:t>3.8受托单位每年至少进行一次污水站污泥池的污泥清掏、压滤、烘干、装袋、入危废仓库，装袋污泥的含水率≤70%；</w:t>
      </w:r>
      <w:r>
        <w:rPr>
          <w:rFonts w:hint="eastAsia" w:ascii="宋体" w:hAnsi="宋体" w:cs="宋体"/>
          <w:color w:val="000000" w:themeColor="text1"/>
          <w:sz w:val="24"/>
          <w:szCs w:val="24"/>
          <w:lang w:val="en-US" w:eastAsia="zh-CN"/>
          <w14:textFill>
            <w14:solidFill>
              <w14:schemeClr w14:val="tx1"/>
            </w14:solidFill>
          </w14:textFill>
        </w:rPr>
        <w:t>每周负责清理各院区所有排污口垃圾（含抽水泵口）；</w:t>
      </w:r>
    </w:p>
    <w:p w14:paraId="1149DC45">
      <w:pPr>
        <w:widowControl/>
        <w:spacing w:line="440" w:lineRule="exact"/>
        <w:jc w:val="left"/>
        <w:rPr>
          <w:rFonts w:ascii="宋体" w:hAnsi="宋体" w:cs="宋体"/>
          <w:sz w:val="24"/>
          <w:szCs w:val="24"/>
        </w:rPr>
      </w:pPr>
      <w:r>
        <w:rPr>
          <w:rFonts w:hint="eastAsia" w:ascii="宋体" w:hAnsi="宋体" w:cs="宋体"/>
          <w:sz w:val="24"/>
          <w:szCs w:val="24"/>
        </w:rPr>
        <w:t>3.9受托单位履行完合同时，各污水处理设备必须完好地交给委托方。</w:t>
      </w:r>
    </w:p>
    <w:p w14:paraId="1E93ACCB">
      <w:pPr>
        <w:widowControl/>
        <w:spacing w:line="440" w:lineRule="exact"/>
        <w:ind w:left="-368" w:leftChars="-175" w:firstLine="361" w:firstLineChars="150"/>
        <w:jc w:val="left"/>
        <w:rPr>
          <w:rFonts w:ascii="宋体" w:hAnsi="宋体" w:cs="宋体"/>
          <w:b/>
          <w:bCs/>
          <w:kern w:val="0"/>
          <w:sz w:val="24"/>
          <w:szCs w:val="24"/>
        </w:rPr>
      </w:pPr>
      <w:r>
        <w:rPr>
          <w:rFonts w:hint="eastAsia" w:ascii="宋体" w:hAnsi="宋体" w:cs="宋体"/>
          <w:b/>
          <w:bCs/>
          <w:kern w:val="0"/>
          <w:sz w:val="24"/>
          <w:szCs w:val="24"/>
        </w:rPr>
        <w:t>4、主要规范与标准</w:t>
      </w:r>
    </w:p>
    <w:p w14:paraId="3DA9ED2F">
      <w:pPr>
        <w:widowControl/>
        <w:spacing w:line="440" w:lineRule="exact"/>
        <w:jc w:val="left"/>
        <w:rPr>
          <w:rFonts w:ascii="宋体" w:hAnsi="宋体" w:cs="宋体"/>
          <w:kern w:val="0"/>
          <w:sz w:val="24"/>
          <w:szCs w:val="24"/>
        </w:rPr>
      </w:pPr>
      <w:r>
        <w:rPr>
          <w:rFonts w:hint="eastAsia" w:ascii="宋体" w:hAnsi="宋体" w:cs="宋体"/>
          <w:kern w:val="0"/>
          <w:sz w:val="24"/>
          <w:szCs w:val="24"/>
        </w:rPr>
        <w:t>4.1《室外排水设计规范》（GBJ14-87）；</w:t>
      </w:r>
    </w:p>
    <w:p w14:paraId="6D7F8910">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4.2《室外给水设计规范》（GBJ13-86）；</w:t>
      </w:r>
    </w:p>
    <w:p w14:paraId="7D1376B9">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4.3《城市污水处理厂污水污泥排放标准》（GJ2530-93）；</w:t>
      </w:r>
    </w:p>
    <w:p w14:paraId="54F8DD4F">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4.4《城镇污水处理厂附属建筑和附属设备标准》（GJJ31-89）；</w:t>
      </w:r>
    </w:p>
    <w:p w14:paraId="21E1C9E1">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4.5《地表水环境质量标准》（GBZB1-1999）；</w:t>
      </w:r>
    </w:p>
    <w:p w14:paraId="410F5CD2">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4.6《恶臭污染物排放标准》（GB14554-93）；</w:t>
      </w:r>
    </w:p>
    <w:p w14:paraId="2B7A262E">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4.7《建筑给水排水设计规范》（GBJ15-88）；</w:t>
      </w:r>
    </w:p>
    <w:p w14:paraId="5FDE4A88">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4.8《工业建筑防腐设计规范》（GBJ46-82）；</w:t>
      </w:r>
    </w:p>
    <w:p w14:paraId="0F81A97B">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4.9《建筑结构荷载规范》（GBJ9-87）；</w:t>
      </w:r>
    </w:p>
    <w:p w14:paraId="48A98B47">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4.10《给水排水工程结构设计规范》（GBJ69-84）；</w:t>
      </w:r>
    </w:p>
    <w:p w14:paraId="4547E86F">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4.11《混凝土结构设计规范》（GBJ17-88）；</w:t>
      </w:r>
    </w:p>
    <w:p w14:paraId="17212893">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4.12《工业企业厂界噪声标准》（GB12348-90）；</w:t>
      </w:r>
    </w:p>
    <w:p w14:paraId="5C552B16">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4.13《建筑地基基础设计规范》（GBJ7-89）；</w:t>
      </w:r>
    </w:p>
    <w:p w14:paraId="71EB4993">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4.14《建筑抗震设计规范》（GBJ11-89）；</w:t>
      </w:r>
    </w:p>
    <w:p w14:paraId="4F97741F">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4.15《水工混凝土结构设计规范》（SDJ20-78）；</w:t>
      </w:r>
    </w:p>
    <w:p w14:paraId="40DB5319">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4.16《建筑结构设计统一标准》（GBJ68-84）；</w:t>
      </w:r>
    </w:p>
    <w:p w14:paraId="602ABE70">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4.17《工业企业设计卫生标准》（TJ36-79）；</w:t>
      </w:r>
    </w:p>
    <w:p w14:paraId="42D90D74">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4.18《采暖通风和空气调节设计规范》（GBJ19-87）；</w:t>
      </w:r>
    </w:p>
    <w:p w14:paraId="22879613">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4.19《建筑设计防火规范》（GBJ16-87）；</w:t>
      </w:r>
    </w:p>
    <w:p w14:paraId="69763759">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4.20《地下工程防水技术规范》（GBJ108-87）；</w:t>
      </w:r>
    </w:p>
    <w:p w14:paraId="5ED15BC5">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4.21《供配电系统设计规范》（GB50052-95）；</w:t>
      </w:r>
    </w:p>
    <w:p w14:paraId="700BC922">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4.22《低压配电装置及线路设计规范》（GB50062-92）；</w:t>
      </w:r>
    </w:p>
    <w:p w14:paraId="55CCF8CE">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4.23《建筑防雷设计规范》（GB50057-94）；</w:t>
      </w:r>
    </w:p>
    <w:p w14:paraId="3A77F32E">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4.24《工业与民用电力装置的接地设计规范》（GBJ65-83）；</w:t>
      </w:r>
    </w:p>
    <w:p w14:paraId="1D58D55B">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4.25《工程设计技术暂行规定》（GBJ6-85）；</w:t>
      </w:r>
    </w:p>
    <w:p w14:paraId="2958FE41">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4.26《工业企业噪音控制设计规范》（GBJ87-85）；</w:t>
      </w:r>
    </w:p>
    <w:p w14:paraId="1F0E4014">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4.27《建筑灭火器配置设计规范》（GBJ140-90）；</w:t>
      </w:r>
    </w:p>
    <w:p w14:paraId="626C43CF">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4.28《动力机器基础设计规范》（GBJ40-79）；</w:t>
      </w:r>
    </w:p>
    <w:p w14:paraId="0C3346BB">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4.29《钢筋混凝土结构设计规范》（TJ1-84）；</w:t>
      </w:r>
    </w:p>
    <w:p w14:paraId="5CF89099">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4.30《建筑电气设计技术规范》（GBJ16-83）；</w:t>
      </w:r>
    </w:p>
    <w:p w14:paraId="5A13B513">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4.31《电力装置的继电保护和自动接地设计规范》（GB50062-92）；</w:t>
      </w:r>
    </w:p>
    <w:p w14:paraId="63552B22">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4.32《通用用电设备配电设计规范》（GB50055-93）；</w:t>
      </w:r>
    </w:p>
    <w:p w14:paraId="708F64CA">
      <w:pPr>
        <w:widowControl/>
        <w:spacing w:line="440" w:lineRule="exact"/>
        <w:ind w:left="-368" w:leftChars="-175" w:firstLine="360" w:firstLineChars="150"/>
        <w:jc w:val="left"/>
        <w:rPr>
          <w:rFonts w:ascii="宋体" w:hAnsi="宋体" w:cs="宋体"/>
          <w:b/>
          <w:bCs/>
          <w:kern w:val="0"/>
          <w:sz w:val="24"/>
          <w:szCs w:val="24"/>
        </w:rPr>
      </w:pPr>
      <w:r>
        <w:rPr>
          <w:rFonts w:hint="eastAsia" w:ascii="宋体" w:hAnsi="宋体" w:cs="宋体"/>
          <w:kern w:val="0"/>
          <w:sz w:val="24"/>
          <w:szCs w:val="24"/>
        </w:rPr>
        <w:t>4.33《10KV以下变电所设计规范》（GB50053-94）。</w:t>
      </w:r>
    </w:p>
    <w:p w14:paraId="79D536C4">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注：本项目应执行以上标准规范但并不仅限于此。</w:t>
      </w:r>
    </w:p>
    <w:p w14:paraId="16B46CA0">
      <w:pPr>
        <w:pStyle w:val="4"/>
        <w:spacing w:line="440" w:lineRule="exact"/>
        <w:rPr>
          <w:rFonts w:hint="eastAsia" w:ascii="宋体" w:hAnsi="宋体" w:cs="宋体"/>
          <w:sz w:val="24"/>
          <w:szCs w:val="24"/>
        </w:rPr>
      </w:pPr>
      <w:r>
        <w:rPr>
          <w:rFonts w:hint="eastAsia" w:ascii="宋体" w:hAnsi="宋体" w:cs="宋体"/>
          <w:sz w:val="24"/>
          <w:szCs w:val="24"/>
        </w:rPr>
        <w:t>原水质：</w:t>
      </w:r>
    </w:p>
    <w:tbl>
      <w:tblPr>
        <w:tblStyle w:val="8"/>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837"/>
        <w:gridCol w:w="1705"/>
        <w:gridCol w:w="1705"/>
        <w:gridCol w:w="2497"/>
      </w:tblGrid>
      <w:tr w14:paraId="7052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blHeader/>
          <w:jc w:val="center"/>
        </w:trPr>
        <w:tc>
          <w:tcPr>
            <w:tcW w:w="1545" w:type="dxa"/>
            <w:vAlign w:val="center"/>
          </w:tcPr>
          <w:p w14:paraId="3F4638B5">
            <w:pPr>
              <w:pStyle w:val="4"/>
              <w:spacing w:line="440" w:lineRule="exact"/>
              <w:ind w:left="0" w:leftChars="0" w:firstLine="0" w:firstLineChars="0"/>
              <w:rPr>
                <w:rFonts w:hint="eastAsia" w:ascii="宋体" w:hAnsi="宋体" w:cs="宋体"/>
                <w:sz w:val="24"/>
                <w:szCs w:val="24"/>
              </w:rPr>
            </w:pPr>
            <w:r>
              <w:rPr>
                <w:rFonts w:hint="eastAsia" w:ascii="宋体" w:hAnsi="宋体" w:cs="宋体"/>
                <w:sz w:val="24"/>
                <w:szCs w:val="24"/>
              </w:rPr>
              <w:t>废水质</w:t>
            </w:r>
          </w:p>
        </w:tc>
        <w:tc>
          <w:tcPr>
            <w:tcW w:w="1837" w:type="dxa"/>
            <w:vAlign w:val="center"/>
          </w:tcPr>
          <w:p w14:paraId="40E1D69F">
            <w:pPr>
              <w:pStyle w:val="4"/>
              <w:spacing w:line="440" w:lineRule="exact"/>
              <w:ind w:left="0" w:leftChars="0" w:firstLine="0" w:firstLineChars="0"/>
              <w:rPr>
                <w:rFonts w:hint="eastAsia" w:ascii="宋体" w:hAnsi="宋体" w:cs="宋体"/>
                <w:sz w:val="24"/>
                <w:szCs w:val="24"/>
              </w:rPr>
            </w:pPr>
            <w:r>
              <w:rPr>
                <w:rFonts w:hint="eastAsia" w:ascii="宋体" w:hAnsi="宋体" w:cs="宋体"/>
                <w:sz w:val="24"/>
                <w:szCs w:val="24"/>
              </w:rPr>
              <w:t>CODcr（mg/L）</w:t>
            </w:r>
          </w:p>
        </w:tc>
        <w:tc>
          <w:tcPr>
            <w:tcW w:w="1705" w:type="dxa"/>
            <w:vAlign w:val="center"/>
          </w:tcPr>
          <w:p w14:paraId="61C18FFB">
            <w:pPr>
              <w:pStyle w:val="4"/>
              <w:spacing w:line="440" w:lineRule="exact"/>
              <w:ind w:left="0" w:leftChars="0" w:firstLine="0" w:firstLineChars="0"/>
              <w:rPr>
                <w:rFonts w:hint="eastAsia" w:ascii="宋体" w:hAnsi="宋体" w:cs="宋体"/>
                <w:sz w:val="24"/>
                <w:szCs w:val="24"/>
              </w:rPr>
            </w:pPr>
            <w:r>
              <w:rPr>
                <w:rFonts w:hint="eastAsia" w:ascii="宋体" w:hAnsi="宋体" w:cs="宋体"/>
                <w:sz w:val="24"/>
                <w:szCs w:val="24"/>
              </w:rPr>
              <w:t>BOD5（mg/L）</w:t>
            </w:r>
          </w:p>
        </w:tc>
        <w:tc>
          <w:tcPr>
            <w:tcW w:w="1705" w:type="dxa"/>
            <w:vAlign w:val="center"/>
          </w:tcPr>
          <w:p w14:paraId="4807219E">
            <w:pPr>
              <w:pStyle w:val="4"/>
              <w:spacing w:line="440" w:lineRule="exact"/>
              <w:ind w:left="0" w:leftChars="0" w:firstLine="0" w:firstLineChars="0"/>
              <w:rPr>
                <w:rFonts w:hint="eastAsia" w:ascii="宋体" w:hAnsi="宋体" w:cs="宋体"/>
                <w:sz w:val="24"/>
                <w:szCs w:val="24"/>
              </w:rPr>
            </w:pPr>
            <w:r>
              <w:rPr>
                <w:rFonts w:hint="eastAsia" w:ascii="宋体" w:hAnsi="宋体" w:cs="宋体"/>
                <w:sz w:val="24"/>
                <w:szCs w:val="24"/>
              </w:rPr>
              <w:t>SS（mg/L）</w:t>
            </w:r>
          </w:p>
        </w:tc>
        <w:tc>
          <w:tcPr>
            <w:tcW w:w="2497" w:type="dxa"/>
            <w:vAlign w:val="center"/>
          </w:tcPr>
          <w:p w14:paraId="506A8ED8">
            <w:pPr>
              <w:pStyle w:val="4"/>
              <w:spacing w:line="440" w:lineRule="exact"/>
              <w:ind w:left="0" w:leftChars="0" w:firstLine="0" w:firstLineChars="0"/>
              <w:rPr>
                <w:rFonts w:hint="eastAsia" w:ascii="宋体" w:hAnsi="宋体" w:cs="宋体"/>
                <w:sz w:val="24"/>
                <w:szCs w:val="24"/>
              </w:rPr>
            </w:pPr>
            <w:r>
              <w:rPr>
                <w:rFonts w:hint="eastAsia" w:ascii="宋体" w:hAnsi="宋体" w:cs="宋体"/>
                <w:sz w:val="22"/>
                <w:szCs w:val="22"/>
              </w:rPr>
              <w:t>粪大肠菌群数（万个/L）</w:t>
            </w:r>
          </w:p>
        </w:tc>
      </w:tr>
      <w:tr w14:paraId="0D78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45" w:type="dxa"/>
            <w:vAlign w:val="center"/>
          </w:tcPr>
          <w:p w14:paraId="4F4BFF59">
            <w:pPr>
              <w:pStyle w:val="4"/>
              <w:spacing w:line="440" w:lineRule="exact"/>
              <w:ind w:left="0" w:leftChars="0" w:firstLine="0" w:firstLineChars="0"/>
              <w:rPr>
                <w:rFonts w:hint="eastAsia" w:ascii="宋体" w:hAnsi="宋体" w:cs="宋体"/>
                <w:sz w:val="24"/>
                <w:szCs w:val="24"/>
              </w:rPr>
            </w:pPr>
            <w:r>
              <w:rPr>
                <w:rFonts w:hint="eastAsia" w:ascii="宋体" w:hAnsi="宋体" w:cs="宋体"/>
                <w:sz w:val="24"/>
                <w:szCs w:val="24"/>
              </w:rPr>
              <w:t>医院污水</w:t>
            </w:r>
          </w:p>
        </w:tc>
        <w:tc>
          <w:tcPr>
            <w:tcW w:w="1837" w:type="dxa"/>
            <w:vAlign w:val="center"/>
          </w:tcPr>
          <w:p w14:paraId="6595B46D">
            <w:pPr>
              <w:pStyle w:val="4"/>
              <w:spacing w:line="440" w:lineRule="exact"/>
              <w:rPr>
                <w:rFonts w:hint="eastAsia" w:ascii="宋体" w:hAnsi="宋体" w:cs="宋体"/>
                <w:sz w:val="24"/>
                <w:szCs w:val="24"/>
              </w:rPr>
            </w:pPr>
            <w:r>
              <w:rPr>
                <w:rFonts w:hint="eastAsia" w:ascii="宋体" w:hAnsi="宋体" w:cs="宋体"/>
                <w:sz w:val="24"/>
                <w:szCs w:val="24"/>
              </w:rPr>
              <w:t>350</w:t>
            </w:r>
          </w:p>
        </w:tc>
        <w:tc>
          <w:tcPr>
            <w:tcW w:w="1705" w:type="dxa"/>
            <w:vAlign w:val="center"/>
          </w:tcPr>
          <w:p w14:paraId="2DBA1AFC">
            <w:pPr>
              <w:pStyle w:val="4"/>
              <w:spacing w:line="440" w:lineRule="exact"/>
              <w:rPr>
                <w:rFonts w:hint="eastAsia" w:ascii="宋体" w:hAnsi="宋体" w:cs="宋体"/>
                <w:sz w:val="24"/>
                <w:szCs w:val="24"/>
              </w:rPr>
            </w:pPr>
            <w:r>
              <w:rPr>
                <w:rFonts w:hint="eastAsia" w:ascii="宋体" w:hAnsi="宋体" w:cs="宋体"/>
                <w:sz w:val="24"/>
                <w:szCs w:val="24"/>
              </w:rPr>
              <w:t>200</w:t>
            </w:r>
          </w:p>
        </w:tc>
        <w:tc>
          <w:tcPr>
            <w:tcW w:w="1705" w:type="dxa"/>
            <w:vAlign w:val="center"/>
          </w:tcPr>
          <w:p w14:paraId="335A33BD">
            <w:pPr>
              <w:pStyle w:val="4"/>
              <w:spacing w:line="440" w:lineRule="exact"/>
              <w:rPr>
                <w:rFonts w:hint="eastAsia" w:ascii="宋体" w:hAnsi="宋体" w:cs="宋体"/>
                <w:sz w:val="24"/>
                <w:szCs w:val="24"/>
              </w:rPr>
            </w:pPr>
            <w:r>
              <w:rPr>
                <w:rFonts w:hint="eastAsia" w:ascii="宋体" w:hAnsi="宋体" w:cs="宋体"/>
                <w:sz w:val="24"/>
                <w:szCs w:val="24"/>
              </w:rPr>
              <w:t>100</w:t>
            </w:r>
          </w:p>
        </w:tc>
        <w:tc>
          <w:tcPr>
            <w:tcW w:w="2497" w:type="dxa"/>
            <w:vAlign w:val="center"/>
          </w:tcPr>
          <w:p w14:paraId="217F430F">
            <w:pPr>
              <w:pStyle w:val="4"/>
              <w:spacing w:line="440" w:lineRule="exact"/>
              <w:rPr>
                <w:rFonts w:hint="eastAsia" w:ascii="宋体" w:hAnsi="宋体" w:cs="宋体"/>
                <w:sz w:val="24"/>
                <w:szCs w:val="24"/>
              </w:rPr>
            </w:pPr>
            <w:r>
              <w:rPr>
                <w:rFonts w:hint="eastAsia" w:ascii="宋体" w:hAnsi="宋体" w:cs="宋体"/>
                <w:sz w:val="24"/>
                <w:szCs w:val="24"/>
              </w:rPr>
              <w:t>＞23800</w:t>
            </w:r>
          </w:p>
        </w:tc>
      </w:tr>
      <w:tr w14:paraId="3B6A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45" w:type="dxa"/>
            <w:vAlign w:val="center"/>
          </w:tcPr>
          <w:p w14:paraId="04E410B0">
            <w:pPr>
              <w:pStyle w:val="4"/>
              <w:spacing w:line="440" w:lineRule="exact"/>
              <w:ind w:left="0" w:leftChars="0" w:firstLine="0" w:firstLineChars="0"/>
              <w:rPr>
                <w:rFonts w:hint="eastAsia" w:ascii="宋体" w:hAnsi="宋体" w:cs="宋体"/>
                <w:sz w:val="24"/>
                <w:szCs w:val="24"/>
              </w:rPr>
            </w:pPr>
            <w:r>
              <w:rPr>
                <w:rFonts w:hint="eastAsia" w:ascii="宋体" w:hAnsi="宋体" w:cs="宋体"/>
                <w:sz w:val="24"/>
                <w:szCs w:val="24"/>
              </w:rPr>
              <w:t>生活污水</w:t>
            </w:r>
          </w:p>
        </w:tc>
        <w:tc>
          <w:tcPr>
            <w:tcW w:w="1837" w:type="dxa"/>
            <w:vAlign w:val="center"/>
          </w:tcPr>
          <w:p w14:paraId="7D807913">
            <w:pPr>
              <w:pStyle w:val="4"/>
              <w:spacing w:line="440" w:lineRule="exact"/>
              <w:rPr>
                <w:rFonts w:hint="eastAsia" w:ascii="宋体" w:hAnsi="宋体" w:cs="宋体"/>
                <w:sz w:val="24"/>
                <w:szCs w:val="24"/>
              </w:rPr>
            </w:pPr>
            <w:r>
              <w:rPr>
                <w:rFonts w:hint="eastAsia" w:ascii="宋体" w:hAnsi="宋体" w:cs="宋体"/>
                <w:sz w:val="24"/>
                <w:szCs w:val="24"/>
              </w:rPr>
              <w:t>350</w:t>
            </w:r>
          </w:p>
        </w:tc>
        <w:tc>
          <w:tcPr>
            <w:tcW w:w="1705" w:type="dxa"/>
            <w:vAlign w:val="center"/>
          </w:tcPr>
          <w:p w14:paraId="2BC7715C">
            <w:pPr>
              <w:pStyle w:val="4"/>
              <w:spacing w:line="440" w:lineRule="exact"/>
              <w:rPr>
                <w:rFonts w:hint="eastAsia" w:ascii="宋体" w:hAnsi="宋体" w:cs="宋体"/>
                <w:sz w:val="24"/>
                <w:szCs w:val="24"/>
              </w:rPr>
            </w:pPr>
            <w:r>
              <w:rPr>
                <w:rFonts w:hint="eastAsia" w:ascii="宋体" w:hAnsi="宋体" w:cs="宋体"/>
                <w:sz w:val="24"/>
                <w:szCs w:val="24"/>
              </w:rPr>
              <w:t>200</w:t>
            </w:r>
          </w:p>
        </w:tc>
        <w:tc>
          <w:tcPr>
            <w:tcW w:w="1705" w:type="dxa"/>
            <w:vAlign w:val="center"/>
          </w:tcPr>
          <w:p w14:paraId="1BE23433">
            <w:pPr>
              <w:pStyle w:val="4"/>
              <w:spacing w:line="440" w:lineRule="exact"/>
              <w:rPr>
                <w:rFonts w:hint="eastAsia" w:ascii="宋体" w:hAnsi="宋体" w:cs="宋体"/>
                <w:sz w:val="24"/>
                <w:szCs w:val="24"/>
              </w:rPr>
            </w:pPr>
            <w:r>
              <w:rPr>
                <w:rFonts w:hint="eastAsia" w:ascii="宋体" w:hAnsi="宋体" w:cs="宋体"/>
                <w:sz w:val="24"/>
                <w:szCs w:val="24"/>
              </w:rPr>
              <w:t>150</w:t>
            </w:r>
          </w:p>
        </w:tc>
        <w:tc>
          <w:tcPr>
            <w:tcW w:w="2497" w:type="dxa"/>
            <w:vAlign w:val="center"/>
          </w:tcPr>
          <w:p w14:paraId="70210318">
            <w:pPr>
              <w:pStyle w:val="4"/>
              <w:spacing w:line="440" w:lineRule="exact"/>
              <w:rPr>
                <w:rFonts w:hint="eastAsia" w:ascii="宋体" w:hAnsi="宋体" w:cs="宋体"/>
                <w:sz w:val="24"/>
                <w:szCs w:val="24"/>
              </w:rPr>
            </w:pPr>
            <w:r>
              <w:rPr>
                <w:rFonts w:hint="eastAsia" w:ascii="宋体" w:hAnsi="宋体" w:cs="宋体"/>
                <w:sz w:val="24"/>
                <w:szCs w:val="24"/>
              </w:rPr>
              <w:t>/</w:t>
            </w:r>
          </w:p>
        </w:tc>
      </w:tr>
      <w:tr w14:paraId="532F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45" w:type="dxa"/>
            <w:vAlign w:val="center"/>
          </w:tcPr>
          <w:p w14:paraId="7884B46E">
            <w:pPr>
              <w:pStyle w:val="4"/>
              <w:spacing w:line="440" w:lineRule="exact"/>
              <w:ind w:left="0" w:leftChars="0" w:firstLine="0" w:firstLineChars="0"/>
              <w:rPr>
                <w:rFonts w:hint="eastAsia" w:ascii="宋体" w:hAnsi="宋体" w:cs="宋体"/>
                <w:sz w:val="24"/>
                <w:szCs w:val="24"/>
              </w:rPr>
            </w:pPr>
            <w:r>
              <w:rPr>
                <w:rFonts w:hint="eastAsia" w:ascii="宋体" w:hAnsi="宋体" w:cs="宋体"/>
                <w:sz w:val="24"/>
                <w:szCs w:val="24"/>
              </w:rPr>
              <w:t>综合后污水</w:t>
            </w:r>
          </w:p>
        </w:tc>
        <w:tc>
          <w:tcPr>
            <w:tcW w:w="1837" w:type="dxa"/>
            <w:vAlign w:val="center"/>
          </w:tcPr>
          <w:p w14:paraId="6B6629C2">
            <w:pPr>
              <w:pStyle w:val="4"/>
              <w:spacing w:line="440" w:lineRule="exact"/>
              <w:rPr>
                <w:rFonts w:hint="eastAsia" w:ascii="宋体" w:hAnsi="宋体" w:cs="宋体"/>
                <w:sz w:val="24"/>
                <w:szCs w:val="24"/>
              </w:rPr>
            </w:pPr>
            <w:r>
              <w:rPr>
                <w:rFonts w:hint="eastAsia" w:ascii="宋体" w:hAnsi="宋体" w:cs="宋体"/>
                <w:sz w:val="24"/>
                <w:szCs w:val="24"/>
              </w:rPr>
              <w:t>350</w:t>
            </w:r>
          </w:p>
        </w:tc>
        <w:tc>
          <w:tcPr>
            <w:tcW w:w="1705" w:type="dxa"/>
            <w:vAlign w:val="center"/>
          </w:tcPr>
          <w:p w14:paraId="5AEF8F4E">
            <w:pPr>
              <w:pStyle w:val="4"/>
              <w:spacing w:line="440" w:lineRule="exact"/>
              <w:rPr>
                <w:rFonts w:hint="eastAsia" w:ascii="宋体" w:hAnsi="宋体" w:cs="宋体"/>
                <w:sz w:val="24"/>
                <w:szCs w:val="24"/>
              </w:rPr>
            </w:pPr>
            <w:r>
              <w:rPr>
                <w:rFonts w:hint="eastAsia" w:ascii="宋体" w:hAnsi="宋体" w:cs="宋体"/>
                <w:sz w:val="24"/>
                <w:szCs w:val="24"/>
              </w:rPr>
              <w:t>200</w:t>
            </w:r>
          </w:p>
        </w:tc>
        <w:tc>
          <w:tcPr>
            <w:tcW w:w="1705" w:type="dxa"/>
            <w:vAlign w:val="center"/>
          </w:tcPr>
          <w:p w14:paraId="6001BB06">
            <w:pPr>
              <w:pStyle w:val="4"/>
              <w:spacing w:line="440" w:lineRule="exact"/>
              <w:rPr>
                <w:rFonts w:hint="eastAsia" w:ascii="宋体" w:hAnsi="宋体" w:cs="宋体"/>
                <w:sz w:val="24"/>
                <w:szCs w:val="24"/>
              </w:rPr>
            </w:pPr>
            <w:r>
              <w:rPr>
                <w:rFonts w:hint="eastAsia" w:ascii="宋体" w:hAnsi="宋体" w:cs="宋体"/>
                <w:sz w:val="24"/>
                <w:szCs w:val="24"/>
              </w:rPr>
              <w:t>105</w:t>
            </w:r>
          </w:p>
        </w:tc>
        <w:tc>
          <w:tcPr>
            <w:tcW w:w="2497" w:type="dxa"/>
            <w:vAlign w:val="center"/>
          </w:tcPr>
          <w:p w14:paraId="4AB09B02">
            <w:pPr>
              <w:pStyle w:val="4"/>
              <w:spacing w:line="440" w:lineRule="exact"/>
              <w:rPr>
                <w:rFonts w:hint="eastAsia" w:ascii="宋体" w:hAnsi="宋体" w:cs="宋体"/>
                <w:sz w:val="24"/>
                <w:szCs w:val="24"/>
              </w:rPr>
            </w:pPr>
            <w:r>
              <w:rPr>
                <w:rFonts w:hint="eastAsia" w:ascii="宋体" w:hAnsi="宋体" w:cs="宋体"/>
                <w:sz w:val="24"/>
                <w:szCs w:val="24"/>
              </w:rPr>
              <w:t>23800</w:t>
            </w:r>
          </w:p>
        </w:tc>
      </w:tr>
    </w:tbl>
    <w:p w14:paraId="478DF7FE">
      <w:pPr>
        <w:pStyle w:val="4"/>
        <w:spacing w:line="440" w:lineRule="exact"/>
        <w:rPr>
          <w:rFonts w:ascii="宋体" w:hAnsi="宋体" w:cs="宋体"/>
          <w:sz w:val="24"/>
          <w:szCs w:val="24"/>
        </w:rPr>
      </w:pPr>
      <w:r>
        <w:rPr>
          <w:rFonts w:hint="eastAsia" w:ascii="宋体" w:hAnsi="宋体" w:cs="宋体"/>
          <w:sz w:val="24"/>
          <w:szCs w:val="24"/>
        </w:rPr>
        <w:t>出水要求：</w:t>
      </w:r>
    </w:p>
    <w:tbl>
      <w:tblPr>
        <w:tblStyle w:val="8"/>
        <w:tblW w:w="9295"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507"/>
        <w:gridCol w:w="1962"/>
        <w:gridCol w:w="1629"/>
        <w:gridCol w:w="1683"/>
        <w:gridCol w:w="1160"/>
      </w:tblGrid>
      <w:tr w14:paraId="21D1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vAlign w:val="center"/>
          </w:tcPr>
          <w:p w14:paraId="10F87F3C">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监测项目</w:t>
            </w:r>
          </w:p>
        </w:tc>
        <w:tc>
          <w:tcPr>
            <w:tcW w:w="1507" w:type="dxa"/>
            <w:vAlign w:val="center"/>
          </w:tcPr>
          <w:p w14:paraId="0FB21BC8">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CODcr</w:t>
            </w:r>
          </w:p>
        </w:tc>
        <w:tc>
          <w:tcPr>
            <w:tcW w:w="1962" w:type="dxa"/>
            <w:vAlign w:val="center"/>
          </w:tcPr>
          <w:p w14:paraId="146F54D8">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BOD</w:t>
            </w:r>
            <w:r>
              <w:rPr>
                <w:rFonts w:hint="eastAsia" w:ascii="宋体" w:hAnsi="宋体" w:eastAsia="宋体" w:cs="宋体"/>
                <w:sz w:val="24"/>
                <w:szCs w:val="24"/>
                <w:vertAlign w:val="subscript"/>
              </w:rPr>
              <w:t>5</w:t>
            </w:r>
          </w:p>
        </w:tc>
        <w:tc>
          <w:tcPr>
            <w:tcW w:w="1629" w:type="dxa"/>
            <w:vAlign w:val="center"/>
          </w:tcPr>
          <w:p w14:paraId="48EA1062">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SS</w:t>
            </w:r>
          </w:p>
        </w:tc>
        <w:tc>
          <w:tcPr>
            <w:tcW w:w="1683" w:type="dxa"/>
            <w:vAlign w:val="center"/>
          </w:tcPr>
          <w:p w14:paraId="6D0742A3">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粪大肠菌群数</w:t>
            </w:r>
          </w:p>
        </w:tc>
        <w:tc>
          <w:tcPr>
            <w:tcW w:w="1160" w:type="dxa"/>
            <w:vAlign w:val="center"/>
          </w:tcPr>
          <w:p w14:paraId="03CD27E0">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PH</w:t>
            </w:r>
          </w:p>
        </w:tc>
      </w:tr>
      <w:tr w14:paraId="7568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vAlign w:val="center"/>
          </w:tcPr>
          <w:p w14:paraId="2ABD15CD">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数据</w:t>
            </w:r>
          </w:p>
        </w:tc>
        <w:tc>
          <w:tcPr>
            <w:tcW w:w="1507" w:type="dxa"/>
            <w:vAlign w:val="center"/>
          </w:tcPr>
          <w:p w14:paraId="713FF17D">
            <w:pPr>
              <w:pStyle w:val="12"/>
              <w:spacing w:line="440" w:lineRule="exact"/>
              <w:ind w:left="0" w:right="1" w:firstLine="0" w:firstLineChars="0"/>
              <w:jc w:val="center"/>
              <w:rPr>
                <w:rFonts w:hint="eastAsia" w:ascii="宋体" w:hAnsi="宋体" w:eastAsia="宋体" w:cs="宋体"/>
                <w:sz w:val="24"/>
                <w:szCs w:val="24"/>
                <w:lang w:val="en-US" w:eastAsia="zh-CN"/>
              </w:rPr>
            </w:pPr>
            <w:r>
              <w:rPr>
                <w:rFonts w:hint="eastAsia" w:ascii="宋体" w:hAnsi="宋体" w:eastAsia="宋体" w:cs="宋体"/>
                <w:kern w:val="0"/>
                <w:sz w:val="24"/>
                <w:szCs w:val="24"/>
              </w:rPr>
              <w:t>≤25</w:t>
            </w:r>
            <w:r>
              <w:rPr>
                <w:rFonts w:hint="eastAsia" w:ascii="宋体" w:hAnsi="宋体" w:eastAsia="宋体" w:cs="宋体"/>
                <w:sz w:val="24"/>
                <w:szCs w:val="24"/>
              </w:rPr>
              <w:t>0mg/</w:t>
            </w:r>
            <w:r>
              <w:rPr>
                <w:rFonts w:hint="eastAsia" w:ascii="宋体" w:hAnsi="宋体" w:eastAsia="宋体" w:cs="宋体"/>
                <w:sz w:val="24"/>
                <w:szCs w:val="24"/>
                <w:lang w:val="en-US" w:eastAsia="zh-CN"/>
              </w:rPr>
              <w:t>L</w:t>
            </w:r>
          </w:p>
        </w:tc>
        <w:tc>
          <w:tcPr>
            <w:tcW w:w="1962" w:type="dxa"/>
            <w:vAlign w:val="center"/>
          </w:tcPr>
          <w:p w14:paraId="32F54550">
            <w:pPr>
              <w:pStyle w:val="12"/>
              <w:spacing w:line="440" w:lineRule="exact"/>
              <w:ind w:left="0" w:right="1" w:firstLine="0" w:firstLineChars="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≤100</w:t>
            </w:r>
            <w:r>
              <w:rPr>
                <w:rFonts w:hint="eastAsia" w:ascii="宋体" w:hAnsi="宋体" w:eastAsia="宋体" w:cs="宋体"/>
                <w:sz w:val="24"/>
                <w:szCs w:val="24"/>
              </w:rPr>
              <w:t xml:space="preserve"> mg/</w:t>
            </w:r>
            <w:r>
              <w:rPr>
                <w:rFonts w:hint="eastAsia" w:ascii="宋体" w:hAnsi="宋体" w:eastAsia="宋体" w:cs="宋体"/>
                <w:sz w:val="24"/>
                <w:szCs w:val="24"/>
                <w:lang w:val="en-US" w:eastAsia="zh-CN"/>
              </w:rPr>
              <w:t>L</w:t>
            </w:r>
          </w:p>
        </w:tc>
        <w:tc>
          <w:tcPr>
            <w:tcW w:w="1629" w:type="dxa"/>
            <w:vAlign w:val="center"/>
          </w:tcPr>
          <w:p w14:paraId="02002610">
            <w:pPr>
              <w:pStyle w:val="12"/>
              <w:spacing w:line="440" w:lineRule="exact"/>
              <w:ind w:left="0" w:right="1" w:firstLine="0" w:firstLineChars="0"/>
              <w:jc w:val="center"/>
              <w:rPr>
                <w:rFonts w:hint="eastAsia" w:ascii="宋体" w:hAnsi="宋体" w:eastAsia="宋体" w:cs="宋体"/>
                <w:sz w:val="24"/>
                <w:szCs w:val="24"/>
                <w:lang w:val="en-US" w:eastAsia="zh-CN"/>
              </w:rPr>
            </w:pPr>
            <w:r>
              <w:rPr>
                <w:rFonts w:hint="eastAsia" w:ascii="宋体" w:hAnsi="宋体" w:eastAsia="宋体" w:cs="宋体"/>
                <w:kern w:val="0"/>
                <w:sz w:val="24"/>
                <w:szCs w:val="24"/>
              </w:rPr>
              <w:t>≤6</w:t>
            </w:r>
            <w:r>
              <w:rPr>
                <w:rFonts w:hint="eastAsia" w:ascii="宋体" w:hAnsi="宋体" w:eastAsia="宋体" w:cs="宋体"/>
                <w:sz w:val="24"/>
                <w:szCs w:val="24"/>
              </w:rPr>
              <w:t>0mg/</w:t>
            </w:r>
            <w:r>
              <w:rPr>
                <w:rFonts w:hint="eastAsia" w:ascii="宋体" w:hAnsi="宋体" w:eastAsia="宋体" w:cs="宋体"/>
                <w:sz w:val="24"/>
                <w:szCs w:val="24"/>
                <w:lang w:val="en-US" w:eastAsia="zh-CN"/>
              </w:rPr>
              <w:t>L</w:t>
            </w:r>
          </w:p>
        </w:tc>
        <w:tc>
          <w:tcPr>
            <w:tcW w:w="1683" w:type="dxa"/>
            <w:vAlign w:val="center"/>
          </w:tcPr>
          <w:p w14:paraId="0D05E0CE">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kern w:val="0"/>
                <w:sz w:val="24"/>
                <w:szCs w:val="24"/>
              </w:rPr>
              <w:t>≤50</w:t>
            </w:r>
            <w:r>
              <w:rPr>
                <w:rFonts w:hint="eastAsia" w:ascii="宋体" w:hAnsi="宋体" w:eastAsia="宋体" w:cs="宋体"/>
                <w:sz w:val="24"/>
                <w:szCs w:val="24"/>
              </w:rPr>
              <w:t>00个/L</w:t>
            </w:r>
          </w:p>
        </w:tc>
        <w:tc>
          <w:tcPr>
            <w:tcW w:w="1160" w:type="dxa"/>
            <w:vAlign w:val="center"/>
          </w:tcPr>
          <w:p w14:paraId="79F7409A">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6～9</w:t>
            </w:r>
          </w:p>
        </w:tc>
      </w:tr>
    </w:tbl>
    <w:p w14:paraId="44420D75">
      <w:pPr>
        <w:pStyle w:val="11"/>
        <w:keepLines w:val="0"/>
        <w:pageBreakBefore w:val="0"/>
        <w:widowControl w:val="0"/>
        <w:numPr>
          <w:ilvl w:val="0"/>
          <w:numId w:val="0"/>
        </w:numPr>
        <w:kinsoku/>
        <w:wordWrap/>
        <w:overflowPunct/>
        <w:topLinePunct w:val="0"/>
        <w:autoSpaceDE/>
        <w:autoSpaceDN/>
        <w:bidi w:val="0"/>
        <w:snapToGrid/>
        <w:spacing w:line="480" w:lineRule="exact"/>
        <w:ind w:leftChars="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二、服务的内容及期限</w:t>
      </w:r>
    </w:p>
    <w:p w14:paraId="7B7946F2">
      <w:pPr>
        <w:keepLines w:val="0"/>
        <w:pageBreakBefore w:val="0"/>
        <w:widowControl w:val="0"/>
        <w:kinsoku/>
        <w:wordWrap/>
        <w:overflowPunct/>
        <w:topLinePunct w:val="0"/>
        <w:autoSpaceDE/>
        <w:autoSpaceDN/>
        <w:bidi w:val="0"/>
        <w:snapToGrid/>
        <w:spacing w:line="48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承包方式：</w:t>
      </w:r>
      <w:r>
        <w:rPr>
          <w:rFonts w:hint="eastAsia" w:ascii="宋体" w:hAnsi="宋体" w:eastAsia="宋体" w:cs="宋体"/>
          <w:color w:val="auto"/>
          <w:sz w:val="24"/>
          <w:szCs w:val="24"/>
          <w:highlight w:val="none"/>
          <w:u w:val="single"/>
          <w:lang w:val="en-US" w:eastAsia="zh-CN"/>
        </w:rPr>
        <w:t>本项目为交钥匙工程，</w:t>
      </w:r>
      <w:r>
        <w:rPr>
          <w:rFonts w:hint="eastAsia" w:ascii="宋体" w:hAnsi="宋体" w:eastAsia="宋体" w:cs="宋体"/>
          <w:color w:val="auto"/>
          <w:sz w:val="24"/>
          <w:szCs w:val="24"/>
          <w:highlight w:val="none"/>
          <w:u w:val="single"/>
        </w:rPr>
        <w:t>采用</w:t>
      </w:r>
      <w:r>
        <w:rPr>
          <w:rFonts w:hint="eastAsia" w:ascii="宋体" w:hAnsi="宋体" w:eastAsia="宋体" w:cs="宋体"/>
          <w:color w:val="auto"/>
          <w:sz w:val="24"/>
          <w:szCs w:val="24"/>
          <w:highlight w:val="none"/>
          <w:u w:val="single"/>
          <w:lang w:val="en-US" w:eastAsia="zh-CN"/>
        </w:rPr>
        <w:t>调研人</w:t>
      </w:r>
      <w:r>
        <w:rPr>
          <w:rFonts w:hint="eastAsia" w:ascii="宋体" w:hAnsi="宋体" w:cs="宋体"/>
          <w:color w:val="auto"/>
          <w:sz w:val="24"/>
          <w:szCs w:val="24"/>
          <w:highlight w:val="none"/>
          <w:u w:val="single"/>
          <w:lang w:val="en-US" w:eastAsia="zh-CN"/>
        </w:rPr>
        <w:t>东湖院区、青山湖院区、眼科医院、红谷滩门诊部</w:t>
      </w:r>
      <w:r>
        <w:rPr>
          <w:rFonts w:hint="eastAsia" w:ascii="宋体" w:hAnsi="宋体" w:eastAsia="宋体" w:cs="宋体"/>
          <w:color w:val="auto"/>
          <w:sz w:val="24"/>
          <w:szCs w:val="24"/>
          <w:highlight w:val="none"/>
          <w:u w:val="single"/>
        </w:rPr>
        <w:t>污水处理站运维</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服务</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工作及</w:t>
      </w:r>
      <w:r>
        <w:rPr>
          <w:rFonts w:hint="eastAsia" w:ascii="宋体" w:hAnsi="宋体" w:eastAsia="宋体" w:cs="宋体"/>
          <w:color w:val="auto"/>
          <w:sz w:val="24"/>
          <w:szCs w:val="24"/>
          <w:highlight w:val="none"/>
          <w:u w:val="single"/>
        </w:rPr>
        <w:t>经费包干</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任务包干</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责任包干</w:t>
      </w:r>
      <w:r>
        <w:rPr>
          <w:rFonts w:hint="eastAsia" w:ascii="宋体" w:hAnsi="宋体" w:eastAsia="宋体" w:cs="宋体"/>
          <w:color w:val="auto"/>
          <w:sz w:val="24"/>
          <w:szCs w:val="24"/>
          <w:highlight w:val="none"/>
          <w:u w:val="single"/>
          <w:lang w:val="en-US" w:eastAsia="zh-CN"/>
        </w:rPr>
        <w:t>等</w:t>
      </w:r>
      <w:r>
        <w:rPr>
          <w:rFonts w:hint="eastAsia" w:ascii="宋体" w:hAnsi="宋体" w:eastAsia="宋体" w:cs="宋体"/>
          <w:color w:val="auto"/>
          <w:sz w:val="24"/>
          <w:szCs w:val="24"/>
          <w:highlight w:val="none"/>
          <w:u w:val="single"/>
        </w:rPr>
        <w:t>的</w:t>
      </w:r>
      <w:r>
        <w:rPr>
          <w:rFonts w:hint="eastAsia" w:ascii="宋体" w:hAnsi="宋体" w:eastAsia="宋体" w:cs="宋体"/>
          <w:color w:val="auto"/>
          <w:sz w:val="24"/>
          <w:szCs w:val="24"/>
          <w:highlight w:val="none"/>
          <w:u w:val="single"/>
          <w:lang w:val="en-US" w:eastAsia="zh-CN"/>
        </w:rPr>
        <w:t>包工包料、</w:t>
      </w:r>
      <w:r>
        <w:rPr>
          <w:rFonts w:hint="eastAsia" w:ascii="宋体" w:hAnsi="宋体" w:eastAsia="宋体" w:cs="宋体"/>
          <w:color w:val="auto"/>
          <w:sz w:val="24"/>
          <w:szCs w:val="24"/>
          <w:highlight w:val="none"/>
          <w:u w:val="single"/>
        </w:rPr>
        <w:t>整体承包方式</w:t>
      </w:r>
      <w:r>
        <w:rPr>
          <w:rFonts w:hint="eastAsia" w:ascii="宋体" w:hAnsi="宋体" w:eastAsia="宋体" w:cs="宋体"/>
          <w:color w:val="auto"/>
          <w:sz w:val="24"/>
          <w:szCs w:val="24"/>
          <w:highlight w:val="none"/>
        </w:rPr>
        <w:t>。</w:t>
      </w:r>
    </w:p>
    <w:p w14:paraId="2F5493B1">
      <w:pPr>
        <w:keepLines w:val="0"/>
        <w:pageBreakBefore w:val="0"/>
        <w:widowControl w:val="0"/>
        <w:kinsoku/>
        <w:wordWrap/>
        <w:overflowPunct/>
        <w:topLinePunct w:val="0"/>
        <w:autoSpaceDE/>
        <w:autoSpaceDN/>
        <w:bidi w:val="0"/>
        <w:snapToGrid/>
        <w:spacing w:line="480" w:lineRule="exact"/>
        <w:jc w:val="left"/>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具体服务内容包括：</w:t>
      </w:r>
      <w:r>
        <w:rPr>
          <w:rFonts w:hint="eastAsia" w:ascii="宋体" w:hAnsi="宋体" w:eastAsia="宋体" w:cs="宋体"/>
          <w:color w:val="auto"/>
          <w:sz w:val="24"/>
          <w:szCs w:val="24"/>
          <w:highlight w:val="none"/>
          <w:u w:val="single"/>
        </w:rPr>
        <w:t>（1）污水处理站设施设备操作及管理工作，确保医院污水始终达标排放</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污水处理站的设施设备日常擦洗保养及维护维修工作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污水处理站的安全生产</w:t>
      </w:r>
      <w:r>
        <w:rPr>
          <w:rFonts w:hint="eastAsia" w:ascii="宋体" w:hAnsi="宋体" w:eastAsia="宋体" w:cs="宋体"/>
          <w:color w:val="auto"/>
          <w:sz w:val="24"/>
          <w:szCs w:val="24"/>
          <w:highlight w:val="none"/>
          <w:u w:val="single"/>
          <w:lang w:val="en-US" w:eastAsia="zh-CN"/>
        </w:rPr>
        <w:t>及责任</w:t>
      </w:r>
      <w:r>
        <w:rPr>
          <w:rFonts w:hint="eastAsia" w:ascii="宋体" w:hAnsi="宋体" w:eastAsia="宋体" w:cs="宋体"/>
          <w:color w:val="auto"/>
          <w:sz w:val="24"/>
          <w:szCs w:val="24"/>
          <w:highlight w:val="none"/>
          <w:u w:val="single"/>
        </w:rPr>
        <w:t>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污水处理站药剂和油料的采购、保管、投放工作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污水处理站污泥</w:t>
      </w:r>
      <w:r>
        <w:rPr>
          <w:rFonts w:hint="eastAsia" w:ascii="宋体" w:hAnsi="宋体" w:eastAsia="宋体" w:cs="宋体"/>
          <w:color w:val="auto"/>
          <w:sz w:val="24"/>
          <w:szCs w:val="24"/>
          <w:highlight w:val="none"/>
          <w:u w:val="single"/>
          <w:lang w:val="en-US" w:eastAsia="zh-CN"/>
        </w:rPr>
        <w:t>清理</w:t>
      </w:r>
      <w:r>
        <w:rPr>
          <w:rFonts w:hint="eastAsia" w:ascii="宋体" w:hAnsi="宋体" w:eastAsia="宋体" w:cs="宋体"/>
          <w:color w:val="auto"/>
          <w:sz w:val="24"/>
          <w:szCs w:val="24"/>
          <w:highlight w:val="none"/>
          <w:u w:val="single"/>
        </w:rPr>
        <w:t>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监测设备的日常运行</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负责排水水质的</w:t>
      </w:r>
      <w:r>
        <w:rPr>
          <w:rFonts w:hint="eastAsia" w:ascii="宋体" w:hAnsi="宋体" w:eastAsia="宋体" w:cs="宋体"/>
          <w:color w:val="auto"/>
          <w:sz w:val="24"/>
          <w:szCs w:val="24"/>
          <w:highlight w:val="none"/>
          <w:u w:val="single"/>
          <w:lang w:val="en-US" w:eastAsia="zh-CN"/>
        </w:rPr>
        <w:t>达标工作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负责配合相关上级监管部门的检查及相关档案建立</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数据记录、台账工作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负责完成院方交代的工作范围内的其他工作</w:t>
      </w:r>
      <w:r>
        <w:rPr>
          <w:rFonts w:hint="eastAsia" w:ascii="宋体" w:hAnsi="宋体" w:eastAsia="宋体" w:cs="宋体"/>
          <w:color w:val="auto"/>
          <w:sz w:val="24"/>
          <w:szCs w:val="24"/>
          <w:highlight w:val="none"/>
          <w:u w:val="single"/>
          <w:lang w:eastAsia="zh-CN"/>
        </w:rPr>
        <w:t>。</w:t>
      </w:r>
    </w:p>
    <w:p w14:paraId="34505932">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本合同项目下的服务期限为：</w:t>
      </w:r>
      <w:r>
        <w:rPr>
          <w:rFonts w:hint="eastAsia" w:ascii="宋体" w:hAnsi="宋体" w:eastAsia="宋体" w:cs="宋体"/>
          <w:color w:val="auto"/>
          <w:sz w:val="24"/>
          <w:szCs w:val="24"/>
          <w:highlight w:val="none"/>
          <w:u w:val="single"/>
        </w:rPr>
        <w:t xml:space="preserve"> 三年 </w:t>
      </w:r>
    </w:p>
    <w:p w14:paraId="18699B47">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服务地点</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南昌市第一医院</w:t>
      </w:r>
      <w:r>
        <w:rPr>
          <w:rFonts w:hint="eastAsia" w:ascii="宋体" w:hAnsi="宋体" w:cs="宋体"/>
          <w:color w:val="auto"/>
          <w:sz w:val="24"/>
          <w:szCs w:val="24"/>
          <w:highlight w:val="none"/>
          <w:u w:val="single"/>
          <w:lang w:val="en-US" w:eastAsia="zh-CN"/>
        </w:rPr>
        <w:t>东湖院区、青山湖院区、眼科医院、红谷滩门诊部</w:t>
      </w:r>
      <w:r>
        <w:rPr>
          <w:rFonts w:hint="eastAsia" w:ascii="宋体" w:hAnsi="宋体" w:eastAsia="宋体" w:cs="宋体"/>
          <w:color w:val="auto"/>
          <w:sz w:val="24"/>
          <w:szCs w:val="24"/>
          <w:highlight w:val="none"/>
        </w:rPr>
        <w:t>。</w:t>
      </w:r>
    </w:p>
    <w:p w14:paraId="5E1CC06B">
      <w:pPr>
        <w:keepLines w:val="0"/>
        <w:pageBreakBefore w:val="0"/>
        <w:widowControl w:val="0"/>
        <w:kinsoku/>
        <w:wordWrap/>
        <w:overflowPunct/>
        <w:topLinePunct w:val="0"/>
        <w:autoSpaceDE/>
        <w:autoSpaceDN/>
        <w:bidi w:val="0"/>
        <w:snapToGrid/>
        <w:spacing w:line="480" w:lineRule="exact"/>
        <w:ind w:left="360" w:hanging="360" w:hanging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要求</w:t>
      </w:r>
    </w:p>
    <w:p w14:paraId="073671F7">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1、基本服务标准：</w:t>
      </w:r>
      <w:r>
        <w:rPr>
          <w:rFonts w:hint="eastAsia" w:ascii="宋体" w:hAnsi="宋体" w:eastAsia="宋体" w:cs="宋体"/>
          <w:color w:val="auto"/>
          <w:sz w:val="24"/>
          <w:szCs w:val="24"/>
          <w:highlight w:val="none"/>
          <w:lang w:val="en-US" w:eastAsia="zh-CN"/>
        </w:rPr>
        <w:t xml:space="preserve">在现有工艺情况下，废水经处理后排入城市污水管道，污水排放需按照环保部门要求,出水指标到达《排污许可证》、《医疗机构污水排放标准》（GB18466-2005）表2预处理标准执行，氨氮参照《污水排入城镇下水道水质标准》（GB/T31962-2015）表1中C级标准以上。服务期间，若政府相关标准或要求发生变化，中标人应立即改进方法，直至达到最新标准或要求。对此产生的所有风险、责任和费用均由中标人承担。 </w:t>
      </w:r>
    </w:p>
    <w:p w14:paraId="2CAA4178">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药品要求</w:t>
      </w:r>
      <w:r>
        <w:rPr>
          <w:rFonts w:hint="eastAsia" w:ascii="宋体" w:hAnsi="宋体" w:eastAsia="宋体" w:cs="宋体"/>
          <w:color w:val="auto"/>
          <w:sz w:val="24"/>
          <w:szCs w:val="24"/>
          <w:highlight w:val="none"/>
        </w:rPr>
        <w:t>：次氯酸钠、阳离子PAM药剂、及余氯仪表配套试剂等。</w:t>
      </w:r>
    </w:p>
    <w:p w14:paraId="26EBD88C">
      <w:pPr>
        <w:pStyle w:val="7"/>
        <w:keepLines w:val="0"/>
        <w:pageBreakBefore w:val="0"/>
        <w:widowControl w:val="0"/>
        <w:kinsoku/>
        <w:wordWrap/>
        <w:overflowPunct/>
        <w:topLinePunct w:val="0"/>
        <w:autoSpaceDE/>
        <w:autoSpaceDN/>
        <w:bidi w:val="0"/>
        <w:snapToGrid/>
        <w:spacing w:line="480" w:lineRule="exact"/>
        <w:ind w:firstLine="3614" w:firstLineChars="1500"/>
        <w:jc w:val="both"/>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运行消耗药剂清单</w:t>
      </w:r>
    </w:p>
    <w:tbl>
      <w:tblPr>
        <w:tblStyle w:val="8"/>
        <w:tblW w:w="3627" w:type="pct"/>
        <w:jc w:val="center"/>
        <w:tblLayout w:type="autofit"/>
        <w:tblCellMar>
          <w:top w:w="0" w:type="dxa"/>
          <w:left w:w="108" w:type="dxa"/>
          <w:bottom w:w="0" w:type="dxa"/>
          <w:right w:w="108" w:type="dxa"/>
        </w:tblCellMar>
      </w:tblPr>
      <w:tblGrid>
        <w:gridCol w:w="1105"/>
        <w:gridCol w:w="1954"/>
        <w:gridCol w:w="1756"/>
        <w:gridCol w:w="1367"/>
      </w:tblGrid>
      <w:tr w14:paraId="188D1C7C">
        <w:tblPrEx>
          <w:tblCellMar>
            <w:top w:w="0" w:type="dxa"/>
            <w:left w:w="108" w:type="dxa"/>
            <w:bottom w:w="0" w:type="dxa"/>
            <w:right w:w="108" w:type="dxa"/>
          </w:tblCellMar>
        </w:tblPrEx>
        <w:trPr>
          <w:cantSplit/>
          <w:trHeight w:val="686" w:hRule="atLeast"/>
          <w:tblHeader/>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7E6E7028">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1579" w:type="pct"/>
            <w:tcBorders>
              <w:top w:val="single" w:color="auto" w:sz="4" w:space="0"/>
              <w:left w:val="single" w:color="auto" w:sz="4" w:space="0"/>
              <w:bottom w:val="single" w:color="auto" w:sz="4" w:space="0"/>
              <w:right w:val="single" w:color="auto" w:sz="4" w:space="0"/>
            </w:tcBorders>
            <w:noWrap w:val="0"/>
            <w:vAlign w:val="center"/>
          </w:tcPr>
          <w:p w14:paraId="1A4F70D2">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药剂名称</w:t>
            </w:r>
          </w:p>
        </w:tc>
        <w:tc>
          <w:tcPr>
            <w:tcW w:w="1419" w:type="pct"/>
            <w:tcBorders>
              <w:top w:val="single" w:color="auto" w:sz="4" w:space="0"/>
              <w:left w:val="single" w:color="auto" w:sz="4" w:space="0"/>
              <w:bottom w:val="single" w:color="auto" w:sz="4" w:space="0"/>
              <w:right w:val="single" w:color="auto" w:sz="4" w:space="0"/>
            </w:tcBorders>
            <w:noWrap w:val="0"/>
            <w:vAlign w:val="center"/>
          </w:tcPr>
          <w:p w14:paraId="25664167">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规格</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1CB6EF1C">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r>
      <w:tr w14:paraId="22E3236F">
        <w:tblPrEx>
          <w:tblCellMar>
            <w:top w:w="0" w:type="dxa"/>
            <w:left w:w="108" w:type="dxa"/>
            <w:bottom w:w="0" w:type="dxa"/>
            <w:right w:w="108" w:type="dxa"/>
          </w:tblCellMar>
        </w:tblPrEx>
        <w:trPr>
          <w:cantSplit/>
          <w:trHeight w:val="397"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40678AB5">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1579" w:type="pct"/>
            <w:tcBorders>
              <w:top w:val="single" w:color="auto" w:sz="4" w:space="0"/>
              <w:left w:val="single" w:color="auto" w:sz="4" w:space="0"/>
              <w:bottom w:val="single" w:color="auto" w:sz="4" w:space="0"/>
              <w:right w:val="single" w:color="auto" w:sz="4" w:space="0"/>
            </w:tcBorders>
            <w:noWrap w:val="0"/>
            <w:vAlign w:val="center"/>
          </w:tcPr>
          <w:p w14:paraId="5A31B796">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次氯酸钠</w:t>
            </w:r>
          </w:p>
        </w:tc>
        <w:tc>
          <w:tcPr>
            <w:tcW w:w="1419" w:type="pct"/>
            <w:tcBorders>
              <w:top w:val="single" w:color="auto" w:sz="4" w:space="0"/>
              <w:left w:val="single" w:color="auto" w:sz="4" w:space="0"/>
              <w:bottom w:val="single" w:color="auto" w:sz="4" w:space="0"/>
              <w:right w:val="single" w:color="auto" w:sz="4" w:space="0"/>
            </w:tcBorders>
            <w:noWrap w:val="0"/>
            <w:vAlign w:val="center"/>
          </w:tcPr>
          <w:p w14:paraId="59CCA063">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工业级，质量浓度1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%溶液</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543E650A">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维护性清洗</w:t>
            </w:r>
          </w:p>
        </w:tc>
      </w:tr>
      <w:tr w14:paraId="5282494D">
        <w:tblPrEx>
          <w:tblCellMar>
            <w:top w:w="0" w:type="dxa"/>
            <w:left w:w="108" w:type="dxa"/>
            <w:bottom w:w="0" w:type="dxa"/>
            <w:right w:w="108" w:type="dxa"/>
          </w:tblCellMar>
        </w:tblPrEx>
        <w:trPr>
          <w:cantSplit/>
          <w:trHeight w:val="397"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360A2E23">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579" w:type="pct"/>
            <w:tcBorders>
              <w:top w:val="single" w:color="auto" w:sz="4" w:space="0"/>
              <w:left w:val="single" w:color="auto" w:sz="4" w:space="0"/>
              <w:bottom w:val="single" w:color="auto" w:sz="4" w:space="0"/>
              <w:right w:val="single" w:color="auto" w:sz="4" w:space="0"/>
            </w:tcBorders>
            <w:noWrap w:val="0"/>
            <w:vAlign w:val="center"/>
          </w:tcPr>
          <w:p w14:paraId="73FFFEA3">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阳离子PAM</w:t>
            </w:r>
          </w:p>
          <w:p w14:paraId="0C0AD97E">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（聚丙烯酰胺）</w:t>
            </w:r>
          </w:p>
        </w:tc>
        <w:tc>
          <w:tcPr>
            <w:tcW w:w="1419" w:type="pct"/>
            <w:tcBorders>
              <w:top w:val="single" w:color="auto" w:sz="4" w:space="0"/>
              <w:left w:val="single" w:color="auto" w:sz="4" w:space="0"/>
              <w:bottom w:val="single" w:color="auto" w:sz="4" w:space="0"/>
              <w:right w:val="single" w:color="auto" w:sz="4" w:space="0"/>
            </w:tcBorders>
            <w:noWrap w:val="0"/>
            <w:vAlign w:val="center"/>
          </w:tcPr>
          <w:p w14:paraId="0060E680">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阳离子型，分子量1200万。固体含量≥90%</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7753D53F">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污泥脱水</w:t>
            </w:r>
          </w:p>
        </w:tc>
      </w:tr>
      <w:tr w14:paraId="2B184007">
        <w:tblPrEx>
          <w:tblCellMar>
            <w:top w:w="0" w:type="dxa"/>
            <w:left w:w="108" w:type="dxa"/>
            <w:bottom w:w="0" w:type="dxa"/>
            <w:right w:w="108" w:type="dxa"/>
          </w:tblCellMar>
        </w:tblPrEx>
        <w:trPr>
          <w:cantSplit/>
          <w:trHeight w:val="397" w:hRule="atLeast"/>
          <w:jc w:val="center"/>
        </w:trPr>
        <w:tc>
          <w:tcPr>
            <w:tcW w:w="894" w:type="pct"/>
            <w:tcBorders>
              <w:top w:val="single" w:color="auto" w:sz="4" w:space="0"/>
              <w:left w:val="single" w:color="auto" w:sz="4" w:space="0"/>
              <w:bottom w:val="single" w:color="auto" w:sz="4" w:space="0"/>
              <w:right w:val="single" w:color="auto" w:sz="4" w:space="0"/>
            </w:tcBorders>
            <w:noWrap w:val="0"/>
            <w:vAlign w:val="center"/>
          </w:tcPr>
          <w:p w14:paraId="7E354662">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579" w:type="pct"/>
            <w:tcBorders>
              <w:top w:val="single" w:color="auto" w:sz="4" w:space="0"/>
              <w:left w:val="single" w:color="auto" w:sz="4" w:space="0"/>
              <w:bottom w:val="single" w:color="auto" w:sz="4" w:space="0"/>
              <w:right w:val="single" w:color="auto" w:sz="4" w:space="0"/>
            </w:tcBorders>
            <w:noWrap w:val="0"/>
            <w:vAlign w:val="center"/>
          </w:tcPr>
          <w:p w14:paraId="1185BCAE">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余氯仪表配套试剂</w:t>
            </w:r>
          </w:p>
        </w:tc>
        <w:tc>
          <w:tcPr>
            <w:tcW w:w="1419" w:type="pct"/>
            <w:tcBorders>
              <w:top w:val="single" w:color="auto" w:sz="4" w:space="0"/>
              <w:left w:val="single" w:color="auto" w:sz="4" w:space="0"/>
              <w:bottom w:val="single" w:color="auto" w:sz="4" w:space="0"/>
              <w:right w:val="single" w:color="auto" w:sz="4" w:space="0"/>
            </w:tcBorders>
            <w:noWrap w:val="0"/>
            <w:vAlign w:val="center"/>
          </w:tcPr>
          <w:p w14:paraId="404B2E76">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仪表厂家配套</w:t>
            </w:r>
          </w:p>
        </w:tc>
        <w:tc>
          <w:tcPr>
            <w:tcW w:w="1105" w:type="pct"/>
            <w:tcBorders>
              <w:top w:val="single" w:color="auto" w:sz="4" w:space="0"/>
              <w:left w:val="single" w:color="auto" w:sz="4" w:space="0"/>
              <w:bottom w:val="single" w:color="auto" w:sz="4" w:space="0"/>
              <w:right w:val="single" w:color="auto" w:sz="4" w:space="0"/>
            </w:tcBorders>
            <w:noWrap w:val="0"/>
            <w:vAlign w:val="center"/>
          </w:tcPr>
          <w:p w14:paraId="10502F22">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余氯监测</w:t>
            </w:r>
          </w:p>
        </w:tc>
      </w:tr>
    </w:tbl>
    <w:p w14:paraId="3A40CFAC">
      <w:pPr>
        <w:pStyle w:val="7"/>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p>
    <w:p w14:paraId="172DDF4E">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3、设备调试、检测维护</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清洗：</w:t>
      </w:r>
    </w:p>
    <w:p w14:paraId="5D581AB3">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本项目运维服务范围中的相关设备包括水泵、风机、电气自控仪表等，应组织原厂家进行现场技术培训、交底，并每年不少于4次的定期调试、检测维护。</w:t>
      </w:r>
    </w:p>
    <w:p w14:paraId="52D253C8">
      <w:pPr>
        <w:keepLines w:val="0"/>
        <w:pageBreakBefore w:val="0"/>
        <w:widowControl w:val="0"/>
        <w:numPr>
          <w:ilvl w:val="0"/>
          <w:numId w:val="1"/>
        </w:numPr>
        <w:kinsoku/>
        <w:wordWrap/>
        <w:overflowPunct/>
        <w:topLinePunct w:val="0"/>
        <w:autoSpaceDE/>
        <w:autoSpaceDN/>
        <w:bidi w:val="0"/>
        <w:snapToGrid/>
        <w:spacing w:line="480" w:lineRule="exact"/>
        <w:ind w:firstLine="480" w:firstLineChars="200"/>
        <w:textAlignment w:val="auto"/>
        <w:rPr>
          <w:rFonts w:hint="eastAsia"/>
          <w:lang w:val="en-US" w:eastAsia="zh-CN"/>
        </w:rPr>
      </w:pPr>
      <w:r>
        <w:rPr>
          <w:rFonts w:hint="eastAsia" w:ascii="宋体" w:hAnsi="宋体" w:eastAsia="宋体" w:cs="宋体"/>
          <w:color w:val="auto"/>
          <w:sz w:val="24"/>
          <w:szCs w:val="24"/>
          <w:highlight w:val="none"/>
          <w:lang w:val="en-US" w:eastAsia="zh-CN"/>
        </w:rPr>
        <w:t>污泥处置：污水处理站产生的污泥属于医疗废物，处置必须按医疗废物要求，交由有资质的回收单位处置。中标人需定期清理污水处理站和污水提升泵站的污泥，并做好清运记录，次日将记录交由采购人存档备案，污泥处理费用由中标人承担。</w:t>
      </w:r>
    </w:p>
    <w:p w14:paraId="555ABCF9">
      <w:pPr>
        <w:keepLines w:val="0"/>
        <w:pageBreakBefore w:val="0"/>
        <w:widowControl w:val="0"/>
        <w:numPr>
          <w:ilvl w:val="0"/>
          <w:numId w:val="1"/>
        </w:numPr>
        <w:kinsoku/>
        <w:wordWrap/>
        <w:overflowPunct/>
        <w:topLinePunct w:val="0"/>
        <w:autoSpaceDE/>
        <w:autoSpaceDN/>
        <w:bidi w:val="0"/>
        <w:snapToGrid/>
        <w:spacing w:line="480" w:lineRule="exact"/>
        <w:ind w:firstLine="480" w:firstLineChars="200"/>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auto"/>
          <w:sz w:val="24"/>
          <w:szCs w:val="24"/>
          <w:highlight w:val="none"/>
          <w:lang w:val="en-US" w:eastAsia="zh-CN"/>
        </w:rPr>
        <w:t>水质检测：</w:t>
      </w:r>
      <w:r>
        <w:rPr>
          <w:rFonts w:hint="eastAsia" w:ascii="宋体" w:hAnsi="宋体" w:eastAsia="宋体" w:cs="宋体"/>
          <w:sz w:val="24"/>
          <w:szCs w:val="24"/>
          <w:lang w:val="en-US" w:eastAsia="zh-CN"/>
        </w:rPr>
        <w:t>中标</w:t>
      </w:r>
      <w:r>
        <w:rPr>
          <w:rFonts w:hint="eastAsia" w:ascii="宋体" w:hAnsi="宋体" w:cs="宋体"/>
          <w:sz w:val="24"/>
          <w:szCs w:val="24"/>
        </w:rPr>
        <w:t>单位每月向</w:t>
      </w:r>
      <w:r>
        <w:rPr>
          <w:rFonts w:hint="eastAsia" w:ascii="宋体" w:hAnsi="宋体" w:cs="宋体"/>
          <w:sz w:val="24"/>
          <w:szCs w:val="24"/>
          <w:lang w:val="en-US" w:eastAsia="zh-CN"/>
        </w:rPr>
        <w:t>有资质的</w:t>
      </w:r>
      <w:r>
        <w:rPr>
          <w:rFonts w:hint="eastAsia" w:ascii="宋体" w:hAnsi="宋体" w:cs="宋体"/>
          <w:sz w:val="24"/>
          <w:szCs w:val="24"/>
        </w:rPr>
        <w:t>第三方检测机构送检污水站水样并取得</w:t>
      </w:r>
      <w:r>
        <w:rPr>
          <w:rFonts w:hint="eastAsia" w:ascii="宋体" w:hAnsi="宋体" w:cs="宋体"/>
          <w:sz w:val="24"/>
          <w:szCs w:val="24"/>
          <w:lang w:val="en-US" w:eastAsia="zh-CN"/>
        </w:rPr>
        <w:t>其出具的检测</w:t>
      </w:r>
      <w:r>
        <w:rPr>
          <w:rFonts w:hint="eastAsia" w:ascii="宋体" w:hAnsi="宋体" w:cs="宋体"/>
          <w:sz w:val="24"/>
          <w:szCs w:val="24"/>
        </w:rPr>
        <w:t>报告</w:t>
      </w:r>
      <w:r>
        <w:rPr>
          <w:rFonts w:hint="eastAsia" w:ascii="宋体" w:hAnsi="宋体" w:eastAsia="宋体" w:cs="宋体"/>
          <w:color w:val="auto"/>
          <w:sz w:val="24"/>
          <w:szCs w:val="24"/>
          <w:highlight w:val="none"/>
          <w:lang w:val="en-US" w:eastAsia="zh-CN"/>
        </w:rPr>
        <w:t>。</w:t>
      </w:r>
    </w:p>
    <w:p w14:paraId="45CBEE23">
      <w:pPr>
        <w:keepLines w:val="0"/>
        <w:pageBreakBefore w:val="0"/>
        <w:widowControl w:val="0"/>
        <w:numPr>
          <w:ilvl w:val="0"/>
          <w:numId w:val="1"/>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污染源自动监控系统运维：</w:t>
      </w:r>
    </w:p>
    <w:p w14:paraId="5471D95F">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.1中标人需根据《污染源自动监控管理办法》、《污染源自动监控设施现场监督检查办法》等污染源自动监控相关要求，</w:t>
      </w:r>
      <w:r>
        <w:rPr>
          <w:rFonts w:hint="eastAsia" w:ascii="宋体" w:hAnsi="宋体" w:cs="宋体"/>
          <w:color w:val="auto"/>
          <w:sz w:val="24"/>
          <w:szCs w:val="24"/>
          <w:highlight w:val="none"/>
          <w:lang w:val="en-US" w:eastAsia="zh-CN"/>
        </w:rPr>
        <w:t>自行</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委派运维人员负责采购人污水处理站污染源自动监控系统运维，人员需持证上岗，具备相关专业知识</w:t>
      </w:r>
      <w:r>
        <w:rPr>
          <w:rFonts w:hint="eastAsia" w:ascii="宋体" w:hAnsi="宋体" w:cs="宋体"/>
          <w:color w:val="000000" w:themeColor="text1"/>
          <w:sz w:val="24"/>
          <w:szCs w:val="24"/>
          <w:highlight w:val="none"/>
          <w:lang w:val="en-US" w:eastAsia="zh-CN"/>
          <w14:textFill>
            <w14:solidFill>
              <w14:schemeClr w14:val="tx1"/>
            </w14:solidFill>
          </w14:textFill>
        </w:rPr>
        <w:t>）或</w:t>
      </w:r>
      <w:r>
        <w:rPr>
          <w:rFonts w:hint="eastAsia" w:ascii="宋体" w:hAnsi="宋体" w:eastAsia="宋体" w:cs="宋体"/>
          <w:color w:val="000000" w:themeColor="text1"/>
          <w:sz w:val="24"/>
          <w:szCs w:val="24"/>
          <w:highlight w:val="none"/>
          <w:lang w:val="en-US" w:eastAsia="zh-CN"/>
          <w14:textFill>
            <w14:solidFill>
              <w14:schemeClr w14:val="tx1"/>
            </w14:solidFill>
          </w14:textFill>
        </w:rPr>
        <w:t>与具有资质的第三方机构签订服务协议</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由第三方机构委派运维人员负责采购人污水处理站污染源自动监控系统运维，人员需持证上岗，具备相关专业知识</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7486CCC2">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.2中标人</w:t>
      </w:r>
      <w:r>
        <w:rPr>
          <w:rFonts w:hint="eastAsia" w:ascii="宋体" w:hAnsi="宋体" w:cs="宋体"/>
          <w:color w:val="auto"/>
          <w:sz w:val="24"/>
          <w:szCs w:val="24"/>
          <w:highlight w:val="none"/>
          <w:lang w:val="en-US" w:eastAsia="zh-CN"/>
        </w:rPr>
        <w:t>自行或</w:t>
      </w:r>
      <w:r>
        <w:rPr>
          <w:rFonts w:hint="eastAsia" w:ascii="宋体" w:hAnsi="宋体" w:eastAsia="宋体" w:cs="宋体"/>
          <w:color w:val="auto"/>
          <w:sz w:val="24"/>
          <w:szCs w:val="24"/>
          <w:highlight w:val="none"/>
          <w:lang w:val="en-US" w:eastAsia="zh-CN"/>
        </w:rPr>
        <w:t>与第三方机构负责对自动监控设备进行维护检修、消耗品更换、备用整机，并做好站房卫生、设备配套、制度上墙。</w:t>
      </w:r>
    </w:p>
    <w:p w14:paraId="15CC8441">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.3中标人</w:t>
      </w:r>
      <w:r>
        <w:rPr>
          <w:rFonts w:hint="eastAsia" w:ascii="宋体" w:hAnsi="宋体" w:cs="宋体"/>
          <w:color w:val="auto"/>
          <w:sz w:val="24"/>
          <w:szCs w:val="24"/>
          <w:highlight w:val="none"/>
          <w:lang w:val="en-US" w:eastAsia="zh-CN"/>
        </w:rPr>
        <w:t>自行或</w:t>
      </w:r>
      <w:r>
        <w:rPr>
          <w:rFonts w:hint="eastAsia" w:ascii="宋体" w:hAnsi="宋体" w:eastAsia="宋体" w:cs="宋体"/>
          <w:color w:val="auto"/>
          <w:sz w:val="24"/>
          <w:szCs w:val="24"/>
          <w:highlight w:val="none"/>
          <w:lang w:val="en-US" w:eastAsia="zh-CN"/>
        </w:rPr>
        <w:t>与第三方机构负责做好自动监控设备日常巡检，系统分析、校准校验、并做好对应工作台账，以及人员出入记录、数据网络填报等工作，保障污染源自动监测设备正常运行。</w:t>
      </w:r>
    </w:p>
    <w:p w14:paraId="36310DCB">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.4中标人</w:t>
      </w:r>
      <w:r>
        <w:rPr>
          <w:rFonts w:hint="eastAsia" w:ascii="宋体" w:hAnsi="宋体" w:cs="宋体"/>
          <w:color w:val="auto"/>
          <w:sz w:val="24"/>
          <w:szCs w:val="24"/>
          <w:highlight w:val="none"/>
          <w:lang w:val="en-US" w:eastAsia="zh-CN"/>
        </w:rPr>
        <w:t>自行或</w:t>
      </w:r>
      <w:r>
        <w:rPr>
          <w:rFonts w:hint="eastAsia" w:ascii="宋体" w:hAnsi="宋体" w:eastAsia="宋体" w:cs="宋体"/>
          <w:color w:val="auto"/>
          <w:sz w:val="24"/>
          <w:szCs w:val="24"/>
          <w:highlight w:val="none"/>
          <w:lang w:val="en-US" w:eastAsia="zh-CN"/>
        </w:rPr>
        <w:t>与第三方机构负责完成环保部门要求的其他相关工作。设施设备维保维修：中标人定期对污水处理站设备进行巡检，如污水处理站设施设备出现故障，由中标人采购维修中需要更换的设备、配件、材料。中标人必须保质保量、及时维修，确保正常运行，并建立维保记录，采购人需要查验时予以提供。</w:t>
      </w:r>
    </w:p>
    <w:p w14:paraId="61444503">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、设施设备 （含中控系统）维保维修：中标人定期对污水处理站设备进行巡检，如污水处理站设施设备出现故障，由中标人负责自行采购维修中需要更换的设备、配件、材料等，相关费用由中标人承担。中标人必须保质保量、及时维修，确保正常运行，并建立维保记录，采购人需要查验时予以提供。</w:t>
      </w:r>
    </w:p>
    <w:p w14:paraId="2C7F5A01">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green"/>
          <w:lang w:val="en-US" w:eastAsia="zh-CN"/>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、人员要求：</w:t>
      </w:r>
      <w:r>
        <w:rPr>
          <w:rFonts w:hint="eastAsia" w:ascii="宋体" w:hAnsi="宋体" w:eastAsia="宋体" w:cs="宋体"/>
          <w:color w:val="auto"/>
          <w:sz w:val="24"/>
          <w:szCs w:val="24"/>
          <w:highlight w:val="none"/>
        </w:rPr>
        <w:t>拟派</w:t>
      </w:r>
      <w:r>
        <w:rPr>
          <w:rFonts w:hint="eastAsia" w:ascii="宋体" w:hAnsi="宋体" w:eastAsia="宋体" w:cs="宋体"/>
          <w:color w:val="auto"/>
          <w:sz w:val="24"/>
          <w:szCs w:val="24"/>
          <w:highlight w:val="none"/>
          <w:lang w:val="en-US" w:eastAsia="zh-CN"/>
        </w:rPr>
        <w:t>驻</w:t>
      </w:r>
      <w:r>
        <w:rPr>
          <w:rFonts w:hint="eastAsia" w:ascii="宋体" w:hAnsi="宋体" w:eastAsia="宋体" w:cs="宋体"/>
          <w:color w:val="auto"/>
          <w:sz w:val="24"/>
          <w:szCs w:val="24"/>
          <w:highlight w:val="none"/>
        </w:rPr>
        <w:t>本项目的工作人员应与</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签订有正式的劳动合同，必须具有操作和维修本套污水处理设备的能力和专业知识。工作期间，统一着装、</w:t>
      </w:r>
      <w:r>
        <w:rPr>
          <w:rFonts w:hint="eastAsia" w:ascii="宋体" w:hAnsi="宋体" w:eastAsia="宋体" w:cs="宋体"/>
          <w:color w:val="auto"/>
          <w:sz w:val="24"/>
          <w:szCs w:val="24"/>
          <w:highlight w:val="none"/>
          <w:lang w:val="en-US" w:eastAsia="zh-CN"/>
        </w:rPr>
        <w:t>佩戴工牌</w:t>
      </w:r>
      <w:r>
        <w:rPr>
          <w:rFonts w:hint="eastAsia" w:ascii="宋体" w:hAnsi="宋体" w:eastAsia="宋体" w:cs="宋体"/>
          <w:color w:val="auto"/>
          <w:sz w:val="24"/>
          <w:szCs w:val="24"/>
          <w:highlight w:val="none"/>
        </w:rPr>
        <w:t>，举止文明。配备安全帽、安全带、工作手套等劳保用品，以及常用维修工具。</w:t>
      </w:r>
      <w:r>
        <w:rPr>
          <w:rFonts w:hint="eastAsia" w:ascii="宋体" w:hAnsi="宋体" w:eastAsia="宋体" w:cs="宋体"/>
          <w:b/>
          <w:bCs/>
          <w:color w:val="auto"/>
          <w:sz w:val="24"/>
          <w:szCs w:val="24"/>
          <w:highlight w:val="none"/>
          <w:u w:val="single"/>
          <w:lang w:eastAsia="zh-CN"/>
        </w:rPr>
        <w:t>中标人</w:t>
      </w:r>
      <w:r>
        <w:rPr>
          <w:rFonts w:hint="eastAsia" w:ascii="宋体" w:hAnsi="宋体" w:eastAsia="宋体" w:cs="宋体"/>
          <w:b/>
          <w:bCs/>
          <w:color w:val="auto"/>
          <w:sz w:val="24"/>
          <w:szCs w:val="24"/>
          <w:highlight w:val="none"/>
          <w:u w:val="single"/>
          <w:lang w:val="en-US" w:eastAsia="zh-CN"/>
        </w:rPr>
        <w:t>100</w:t>
      </w:r>
      <w:r>
        <w:rPr>
          <w:rFonts w:hint="eastAsia" w:ascii="宋体" w:hAnsi="宋体" w:eastAsia="宋体" w:cs="宋体"/>
          <w:b/>
          <w:bCs/>
          <w:color w:val="auto"/>
          <w:sz w:val="24"/>
          <w:szCs w:val="24"/>
          <w:highlight w:val="none"/>
          <w:u w:val="single"/>
        </w:rPr>
        <w:t>％人员年龄不得高于60岁</w:t>
      </w:r>
      <w:r>
        <w:rPr>
          <w:rFonts w:hint="eastAsia" w:ascii="宋体" w:hAnsi="宋体" w:eastAsia="宋体" w:cs="宋体"/>
          <w:b/>
          <w:bCs/>
          <w:color w:val="auto"/>
          <w:sz w:val="24"/>
          <w:szCs w:val="24"/>
          <w:highlight w:val="none"/>
          <w:u w:val="single"/>
          <w:lang w:val="en-US" w:eastAsia="zh-CN"/>
        </w:rPr>
        <w:t>,80%人员平均年龄应小于50岁</w:t>
      </w:r>
      <w:r>
        <w:rPr>
          <w:rFonts w:hint="eastAsia" w:ascii="宋体" w:hAnsi="宋体" w:eastAsia="宋体" w:cs="宋体"/>
          <w:b/>
          <w:bCs/>
          <w:color w:val="auto"/>
          <w:sz w:val="24"/>
          <w:szCs w:val="24"/>
          <w:highlight w:val="none"/>
          <w:u w:val="single"/>
        </w:rPr>
        <w:t>。</w:t>
      </w:r>
      <w:r>
        <w:rPr>
          <w:rFonts w:hint="eastAsia" w:ascii="宋体" w:hAnsi="宋体" w:eastAsia="宋体" w:cs="宋体"/>
          <w:color w:val="auto"/>
          <w:sz w:val="24"/>
          <w:szCs w:val="24"/>
          <w:highlight w:val="none"/>
        </w:rPr>
        <w:t>本项目拟派的所有人员在合同期内不得更换。因客观原因必须更换的，则在更换之前必须得到</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书面同意。</w:t>
      </w:r>
    </w:p>
    <w:p w14:paraId="38373079">
      <w:pPr>
        <w:keepLines w:val="0"/>
        <w:pageBreakBefore w:val="0"/>
        <w:widowControl w:val="0"/>
        <w:numPr>
          <w:ilvl w:val="0"/>
          <w:numId w:val="0"/>
        </w:numPr>
        <w:kinsoku/>
        <w:wordWrap/>
        <w:overflowPunct/>
        <w:topLinePunct w:val="0"/>
        <w:autoSpaceDE/>
        <w:autoSpaceDN/>
        <w:bidi w:val="0"/>
        <w:snapToGrid/>
        <w:spacing w:line="480" w:lineRule="exact"/>
        <w:ind w:firstLine="482" w:firstLineChars="200"/>
        <w:textAlignment w:val="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最低人员配置：</w:t>
      </w:r>
    </w:p>
    <w:p w14:paraId="1CAAE99D">
      <w:pPr>
        <w:keepLines w:val="0"/>
        <w:pageBreakBefore w:val="0"/>
        <w:widowControl w:val="0"/>
        <w:numPr>
          <w:ilvl w:val="0"/>
          <w:numId w:val="0"/>
        </w:numPr>
        <w:kinsoku/>
        <w:wordWrap/>
        <w:overflowPunct/>
        <w:topLinePunct w:val="0"/>
        <w:autoSpaceDE/>
        <w:autoSpaceDN/>
        <w:bidi w:val="0"/>
        <w:snapToGrid/>
        <w:spacing w:line="480" w:lineRule="exact"/>
        <w:ind w:firstLine="482" w:firstLineChars="200"/>
        <w:textAlignment w:val="auto"/>
        <w:rPr>
          <w:rFonts w:hint="default"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u w:val="single"/>
        </w:rPr>
        <w:t>①现场主管：1名（同医院行政班时间在岗，如有应急突发事件需随叫随到；负责与设备供货安装单位设备移交接收、设备外围单位工作协调沟通与对接，运行管理模式方案制定、现场运行人员及设备管理和日常工作安排，日常运行数据分析报表存档，设备及运行合理化方案制定和落实，每周向医院相关部门汇报工作情况）</w:t>
      </w:r>
      <w:r>
        <w:rPr>
          <w:rFonts w:hint="eastAsia" w:ascii="宋体" w:hAnsi="宋体" w:cs="宋体"/>
          <w:b/>
          <w:bCs/>
          <w:color w:val="auto"/>
          <w:sz w:val="24"/>
          <w:szCs w:val="24"/>
          <w:highlight w:val="none"/>
          <w:u w:val="single"/>
          <w:lang w:eastAsia="zh-CN"/>
        </w:rPr>
        <w:t>，</w:t>
      </w:r>
      <w:r>
        <w:rPr>
          <w:rFonts w:hint="eastAsia" w:ascii="宋体" w:hAnsi="宋体" w:cs="宋体"/>
          <w:b/>
          <w:bCs/>
          <w:color w:val="auto"/>
          <w:sz w:val="24"/>
          <w:szCs w:val="24"/>
          <w:highlight w:val="none"/>
          <w:u w:val="single"/>
          <w:lang w:val="en-US" w:eastAsia="zh-CN"/>
        </w:rPr>
        <w:t>工作时间：8：00-17:30。</w:t>
      </w:r>
    </w:p>
    <w:p w14:paraId="5366C2D1">
      <w:pPr>
        <w:keepLines w:val="0"/>
        <w:pageBreakBefore w:val="0"/>
        <w:widowControl w:val="0"/>
        <w:numPr>
          <w:ilvl w:val="0"/>
          <w:numId w:val="0"/>
        </w:numPr>
        <w:kinsoku/>
        <w:wordWrap/>
        <w:overflowPunct/>
        <w:topLinePunct w:val="0"/>
        <w:autoSpaceDE/>
        <w:autoSpaceDN/>
        <w:bidi w:val="0"/>
        <w:snapToGrid/>
        <w:spacing w:line="480" w:lineRule="exact"/>
        <w:ind w:firstLine="482" w:firstLineChars="200"/>
        <w:textAlignment w:val="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②操作技术员：</w:t>
      </w:r>
      <w:r>
        <w:rPr>
          <w:rFonts w:hint="eastAsia" w:ascii="宋体" w:hAnsi="宋体" w:cs="宋体"/>
          <w:b/>
          <w:bCs/>
          <w:color w:val="auto"/>
          <w:sz w:val="24"/>
          <w:szCs w:val="24"/>
          <w:highlight w:val="none"/>
          <w:u w:val="single"/>
          <w:lang w:val="en-US" w:eastAsia="zh-CN"/>
        </w:rPr>
        <w:t>2人次</w:t>
      </w:r>
      <w:r>
        <w:rPr>
          <w:rFonts w:hint="eastAsia" w:ascii="宋体" w:hAnsi="宋体" w:eastAsia="宋体" w:cs="宋体"/>
          <w:b/>
          <w:bCs/>
          <w:color w:val="auto"/>
          <w:sz w:val="24"/>
          <w:szCs w:val="24"/>
          <w:highlight w:val="none"/>
          <w:u w:val="single"/>
        </w:rPr>
        <w:t>（负责所有设施设备的正常运转工作，解决出现的技术工艺问题；做好设施设备的具体巡查检修及保养工作，有基础的水电知识；兼职数据记录及资料整理等；采用倒班制度，确保365天有人值班）</w:t>
      </w:r>
      <w:r>
        <w:rPr>
          <w:rFonts w:hint="eastAsia" w:ascii="宋体" w:hAnsi="宋体" w:cs="宋体"/>
          <w:b/>
          <w:bCs/>
          <w:color w:val="auto"/>
          <w:sz w:val="24"/>
          <w:szCs w:val="24"/>
          <w:highlight w:val="none"/>
          <w:u w:val="single"/>
          <w:lang w:eastAsia="zh-CN"/>
        </w:rPr>
        <w:t>，</w:t>
      </w:r>
      <w:r>
        <w:rPr>
          <w:rFonts w:hint="eastAsia" w:ascii="宋体" w:hAnsi="宋体" w:cs="宋体"/>
          <w:b/>
          <w:bCs/>
          <w:color w:val="auto"/>
          <w:sz w:val="24"/>
          <w:szCs w:val="24"/>
          <w:highlight w:val="none"/>
          <w:u w:val="single"/>
          <w:lang w:val="en-US" w:eastAsia="zh-CN"/>
        </w:rPr>
        <w:t>工作时间：8：00-17:30。</w:t>
      </w:r>
    </w:p>
    <w:p w14:paraId="676DDDF1">
      <w:pPr>
        <w:spacing w:line="440" w:lineRule="exact"/>
        <w:ind w:firstLine="520" w:firstLineChars="200"/>
        <w:rPr>
          <w:rFonts w:hint="eastAsia" w:ascii="宋体" w:hAnsi="宋体" w:eastAsia="宋体" w:cs="宋体"/>
          <w:spacing w:val="10"/>
          <w:kern w:val="0"/>
          <w:sz w:val="24"/>
          <w:szCs w:val="24"/>
          <w:lang w:eastAsia="zh-CN"/>
        </w:rPr>
      </w:pPr>
      <w:r>
        <w:rPr>
          <w:rFonts w:hint="eastAsia" w:ascii="宋体" w:hAnsi="宋体" w:cs="宋体"/>
          <w:spacing w:val="10"/>
          <w:kern w:val="0"/>
          <w:sz w:val="24"/>
          <w:szCs w:val="24"/>
          <w:lang w:val="en-US" w:eastAsia="zh-CN"/>
        </w:rPr>
        <w:t>③</w:t>
      </w:r>
      <w:r>
        <w:rPr>
          <w:rFonts w:hint="eastAsia" w:ascii="宋体" w:hAnsi="宋体" w:cs="宋体"/>
          <w:spacing w:val="10"/>
          <w:kern w:val="0"/>
          <w:sz w:val="24"/>
          <w:szCs w:val="24"/>
        </w:rPr>
        <w:t>受托单位必须配合采购人的各类检查迎检工作，做好相关台账</w:t>
      </w:r>
      <w:r>
        <w:rPr>
          <w:rFonts w:hint="eastAsia" w:ascii="宋体" w:hAnsi="宋体" w:cs="宋体"/>
          <w:spacing w:val="10"/>
          <w:kern w:val="0"/>
          <w:sz w:val="24"/>
          <w:szCs w:val="24"/>
          <w:lang w:val="en-US" w:eastAsia="zh-CN"/>
        </w:rPr>
        <w:t>;</w:t>
      </w:r>
    </w:p>
    <w:p w14:paraId="53E49A07">
      <w:pPr>
        <w:spacing w:line="440" w:lineRule="exact"/>
        <w:ind w:firstLine="520" w:firstLineChars="200"/>
        <w:rPr>
          <w:rFonts w:ascii="宋体" w:hAnsi="宋体" w:cs="宋体"/>
          <w:spacing w:val="10"/>
          <w:kern w:val="0"/>
          <w:sz w:val="24"/>
          <w:szCs w:val="24"/>
        </w:rPr>
      </w:pPr>
      <w:r>
        <w:rPr>
          <w:rFonts w:hint="eastAsia" w:ascii="宋体" w:hAnsi="宋体" w:cs="宋体"/>
          <w:spacing w:val="10"/>
          <w:kern w:val="0"/>
          <w:sz w:val="24"/>
          <w:szCs w:val="24"/>
          <w:lang w:val="en-US" w:eastAsia="zh-CN"/>
        </w:rPr>
        <w:t>④</w:t>
      </w:r>
      <w:r>
        <w:rPr>
          <w:rFonts w:hint="eastAsia" w:ascii="宋体" w:hAnsi="宋体" w:cs="宋体"/>
          <w:spacing w:val="10"/>
          <w:kern w:val="0"/>
          <w:sz w:val="24"/>
          <w:szCs w:val="24"/>
        </w:rPr>
        <w:t>所有服务方式均由受托方派技术人员到用户使用现场维修维护管理；</w:t>
      </w:r>
    </w:p>
    <w:p w14:paraId="5F7C8BAF">
      <w:pPr>
        <w:spacing w:line="440" w:lineRule="exact"/>
        <w:ind w:firstLine="520" w:firstLineChars="200"/>
        <w:rPr>
          <w:rFonts w:ascii="宋体" w:hAnsi="宋体" w:cs="宋体"/>
          <w:spacing w:val="10"/>
          <w:kern w:val="0"/>
          <w:sz w:val="24"/>
          <w:szCs w:val="24"/>
        </w:rPr>
      </w:pPr>
      <w:r>
        <w:rPr>
          <w:rFonts w:hint="eastAsia" w:ascii="宋体" w:hAnsi="宋体" w:cs="宋体"/>
          <w:spacing w:val="10"/>
          <w:kern w:val="0"/>
          <w:sz w:val="24"/>
          <w:szCs w:val="24"/>
          <w:lang w:val="en-US" w:eastAsia="zh-CN"/>
        </w:rPr>
        <w:t>⑤</w:t>
      </w:r>
      <w:r>
        <w:rPr>
          <w:rFonts w:hint="eastAsia" w:ascii="宋体" w:hAnsi="宋体" w:cs="宋体"/>
          <w:spacing w:val="10"/>
          <w:kern w:val="0"/>
          <w:sz w:val="24"/>
          <w:szCs w:val="24"/>
        </w:rPr>
        <w:t>设备发生故障报告后，在2小时内排除故障；</w:t>
      </w:r>
    </w:p>
    <w:p w14:paraId="45362917">
      <w:pPr>
        <w:spacing w:line="440" w:lineRule="exact"/>
        <w:ind w:firstLine="520" w:firstLineChars="200"/>
        <w:rPr>
          <w:rFonts w:ascii="宋体" w:hAnsi="宋体" w:cs="宋体"/>
          <w:spacing w:val="10"/>
          <w:kern w:val="0"/>
          <w:sz w:val="24"/>
          <w:szCs w:val="24"/>
        </w:rPr>
      </w:pPr>
      <w:r>
        <w:rPr>
          <w:rFonts w:hint="eastAsia" w:ascii="宋体" w:hAnsi="宋体" w:cs="宋体"/>
          <w:spacing w:val="10"/>
          <w:kern w:val="0"/>
          <w:sz w:val="24"/>
          <w:szCs w:val="24"/>
          <w:lang w:val="en-US" w:eastAsia="zh-CN"/>
        </w:rPr>
        <w:t>⑥</w:t>
      </w:r>
      <w:r>
        <w:rPr>
          <w:rFonts w:hint="eastAsia" w:ascii="宋体" w:hAnsi="宋体" w:cs="宋体"/>
          <w:spacing w:val="10"/>
          <w:kern w:val="0"/>
          <w:sz w:val="24"/>
          <w:szCs w:val="24"/>
        </w:rPr>
        <w:t>采购人每月进行考核评价，考核结果与付款挂钩。</w:t>
      </w:r>
    </w:p>
    <w:p w14:paraId="1354B456">
      <w:pPr>
        <w:keepLines w:val="0"/>
        <w:pageBreakBefore w:val="0"/>
        <w:widowControl w:val="0"/>
        <w:numPr>
          <w:ilvl w:val="0"/>
          <w:numId w:val="0"/>
        </w:numPr>
        <w:kinsoku/>
        <w:wordWrap/>
        <w:overflowPunct/>
        <w:topLinePunct w:val="0"/>
        <w:autoSpaceDE/>
        <w:autoSpaceDN/>
        <w:bidi w:val="0"/>
        <w:snapToGrid/>
        <w:spacing w:line="480" w:lineRule="exact"/>
        <w:ind w:left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、管理制度要求：</w:t>
      </w:r>
    </w:p>
    <w:p w14:paraId="580E35B9">
      <w:pPr>
        <w:keepLines w:val="0"/>
        <w:pageBreakBefore w:val="0"/>
        <w:widowControl w:val="0"/>
        <w:numPr>
          <w:ilvl w:val="0"/>
          <w:numId w:val="0"/>
        </w:numPr>
        <w:kinsoku/>
        <w:wordWrap/>
        <w:overflowPunct/>
        <w:topLinePunct w:val="0"/>
        <w:autoSpaceDE/>
        <w:autoSpaceDN/>
        <w:bidi w:val="0"/>
        <w:snapToGrid/>
        <w:spacing w:line="480" w:lineRule="exact"/>
        <w:ind w:left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中标人必须制定并提交完善的管理制度，包含但不限于以下制度</w:t>
      </w:r>
    </w:p>
    <w:p w14:paraId="1040F571">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（1）人员岗位制度； </w:t>
      </w:r>
    </w:p>
    <w:p w14:paraId="41966CA4">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（2）设备运行管理制度； </w:t>
      </w:r>
    </w:p>
    <w:p w14:paraId="48F9D57E">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（3）消耗品管理制度； </w:t>
      </w:r>
    </w:p>
    <w:p w14:paraId="7F3FF718">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（4）能耗管理制度； </w:t>
      </w:r>
    </w:p>
    <w:p w14:paraId="11471714">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（5）安全运行管理制度； </w:t>
      </w:r>
    </w:p>
    <w:p w14:paraId="1D1C42EA">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（6）突发事件应急管理制度； </w:t>
      </w:r>
    </w:p>
    <w:p w14:paraId="75736D00">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（7）设施设备日常保养计划； </w:t>
      </w:r>
    </w:p>
    <w:p w14:paraId="1918821D">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（8）设施设备日常维修方案；</w:t>
      </w:r>
    </w:p>
    <w:p w14:paraId="57B8B495">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（9）污水处理站工作管理制度 </w:t>
      </w:r>
    </w:p>
    <w:p w14:paraId="4C3874A6">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采购人有权在项目实施过程中根据项目进展情况要求中标人根据实际情况对上述制度方案进行修正。</w:t>
      </w:r>
    </w:p>
    <w:p w14:paraId="2B46A60F">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 xml:space="preserve">、运维服务要求： </w:t>
      </w:r>
    </w:p>
    <w:p w14:paraId="2C3884AC">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 xml:space="preserve">.1 巡检要求：（1）巡检、点检、维护、水处理过程中发现问题时，指派专人负责，及时解决。发现问题时第一时间向采购人主管部门报告并及时跟踪处理，直到设备正常为止。（2）除规定的点检外，每2小时对各系统进行一次巡查。每次巡检结果应及时完整记录、存档、备查。 </w:t>
      </w:r>
    </w:p>
    <w:p w14:paraId="5BD73277">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.2 定期检修保养要求：一般情况下，按照设备使用说明，制定检修保养计划，按计划对设备进行检修保养，并提供详细的保养记录。日常对设施设备进行擦拭保养。</w:t>
      </w:r>
    </w:p>
    <w:p w14:paraId="1ADF99AC">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.3 取样分析：应每天采样分析水样2次（特殊情况如遇上级部门要求应增加次数），每次采取污水处理进出水各一份，采样要求及时、认真如实记录，并对采集的水样进行检测。</w:t>
      </w:r>
    </w:p>
    <w:p w14:paraId="225777F2">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.4 台账记录及数据上报要求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：中标人每日需按照《排污许可证申请与核发技术规范 医疗机构》附表内容建立日常台账。</w:t>
      </w:r>
      <w:r>
        <w:rPr>
          <w:rFonts w:hint="eastAsia" w:ascii="宋体" w:hAnsi="宋体" w:eastAsia="宋体" w:cs="宋体"/>
          <w:color w:val="auto"/>
          <w:sz w:val="24"/>
          <w:szCs w:val="24"/>
          <w:highlight w:val="none"/>
          <w:lang w:val="en-US" w:eastAsia="zh-CN"/>
        </w:rPr>
        <w:t>供应商应对维保设备建立日常维修档案，便于日常管理和设备故障分析。</w:t>
      </w:r>
    </w:p>
    <w:p w14:paraId="2D58A729">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.5 中标人须做好巡检记录、投药记录、耗材记录等运维相关记录，并在次月5日前提交至采购人管理部门。</w:t>
      </w:r>
    </w:p>
    <w:p w14:paraId="5F3BF445">
      <w:pPr>
        <w:pStyle w:val="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附件：工艺流程图</w:t>
      </w:r>
    </w:p>
    <w:bookmarkEnd w:id="0"/>
    <w:bookmarkEnd w:id="1"/>
    <w:bookmarkEnd w:id="2"/>
    <w:p w14:paraId="7AD32D29">
      <w:pPr>
        <w:spacing w:line="440" w:lineRule="exact"/>
        <w:ind w:firstLine="3360" w:firstLineChars="1400"/>
        <w:rPr>
          <w:rFonts w:hint="eastAsia" w:ascii="宋体" w:hAnsi="宋体" w:cs="宋体"/>
          <w:sz w:val="24"/>
          <w:szCs w:val="24"/>
        </w:rPr>
      </w:pPr>
    </w:p>
    <w:p w14:paraId="577E10ED">
      <w:pPr>
        <w:spacing w:line="440" w:lineRule="exact"/>
        <w:ind w:firstLine="3360" w:firstLineChars="1400"/>
        <w:rPr>
          <w:rFonts w:hint="eastAsia" w:ascii="宋体" w:hAnsi="宋体" w:cs="宋体"/>
          <w:sz w:val="24"/>
          <w:szCs w:val="24"/>
        </w:rPr>
      </w:pPr>
    </w:p>
    <w:p w14:paraId="512AE6D5">
      <w:pPr>
        <w:spacing w:line="440" w:lineRule="exact"/>
        <w:ind w:firstLine="3360" w:firstLineChars="1400"/>
        <w:rPr>
          <w:rFonts w:hint="eastAsia" w:ascii="宋体" w:hAnsi="宋体" w:cs="宋体"/>
          <w:sz w:val="24"/>
          <w:szCs w:val="24"/>
        </w:rPr>
      </w:pPr>
    </w:p>
    <w:p w14:paraId="28C35783">
      <w:pPr>
        <w:spacing w:line="440" w:lineRule="exact"/>
        <w:ind w:firstLine="3360" w:firstLineChars="1400"/>
        <w:rPr>
          <w:rFonts w:ascii="宋体" w:hAnsi="宋体" w:cs="宋体"/>
          <w:sz w:val="24"/>
          <w:szCs w:val="24"/>
        </w:rPr>
      </w:pPr>
      <w:r>
        <w:rPr>
          <w:rFonts w:hint="eastAsia" w:ascii="宋体" w:hAnsi="宋体" w:cs="宋体"/>
          <w:sz w:val="24"/>
          <w:szCs w:val="24"/>
        </w:rPr>
        <w:t>医院污水</w:t>
      </w:r>
    </w:p>
    <w:p w14:paraId="2EAA2134">
      <w:pPr>
        <w:spacing w:line="440" w:lineRule="exact"/>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0</wp:posOffset>
                </wp:positionV>
                <wp:extent cx="635" cy="396240"/>
                <wp:effectExtent l="37465" t="0" r="38100" b="10160"/>
                <wp:wrapNone/>
                <wp:docPr id="24" name="直接连接符 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9pt;margin-top:0pt;height:31.2pt;width:0.05pt;z-index:251667456;mso-width-relative:page;mso-height-relative:page;" filled="f" stroked="t" coordsize="21600,21600" o:gfxdata="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Sy29nYAAAABwEAAA8AAAAAAAAAAQAgAAAAIgAAAGRy&#10;cy9kb3ducmV2LnhtbFBLAQIUABQAAAAIAIdO4kCRCmsNBQIAAPkDAAAOAAAAAAAAAAEAIAAAACcB&#10;AABkcnMvZTJvRG9jLnhtbFBLBQYAAAAABgAGAFkBAACeBQAAAAA=&#10;">
                <v:fill on="f" focussize="0,0"/>
                <v:stroke color="#000000" joinstyle="round" endarrow="block"/>
                <v:imagedata o:title=""/>
                <o:lock v:ext="edit" aspectratio="f"/>
              </v:line>
            </w:pict>
          </mc:Fallback>
        </mc:AlternateContent>
      </w:r>
    </w:p>
    <w:p w14:paraId="750FABE3">
      <w:pPr>
        <w:spacing w:line="440" w:lineRule="exact"/>
        <w:ind w:firstLine="6720" w:firstLineChars="28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99060</wp:posOffset>
                </wp:positionV>
                <wp:extent cx="685800" cy="297180"/>
                <wp:effectExtent l="4445" t="4445" r="8255" b="15875"/>
                <wp:wrapNone/>
                <wp:docPr id="28" name="矩形 28"/>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490BFB">
                            <w:pPr>
                              <w:ind w:firstLine="240" w:firstLineChars="100"/>
                              <w:rPr>
                                <w:sz w:val="24"/>
                              </w:rPr>
                            </w:pPr>
                            <w:r>
                              <w:rPr>
                                <w:rFonts w:hint="eastAsia" w:cs="宋体"/>
                                <w:sz w:val="24"/>
                              </w:rPr>
                              <w:t>格栅</w:t>
                            </w:r>
                          </w:p>
                        </w:txbxContent>
                      </wps:txbx>
                      <wps:bodyPr upright="1"/>
                    </wps:wsp>
                  </a:graphicData>
                </a:graphic>
              </wp:anchor>
            </w:drawing>
          </mc:Choice>
          <mc:Fallback>
            <w:pict>
              <v:rect id="_x0000_s1026" o:spid="_x0000_s1026" o:spt="1" style="position:absolute;left:0pt;margin-left:153pt;margin-top:7.8pt;height:23.4pt;width:54pt;z-index:251660288;mso-width-relative:page;mso-height-relative:page;" fillcolor="#FFFFFF" filled="t" stroked="t" coordsize="21600,21600" o:gfxdata="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ENGlHXAAAACQEAAA8AAAAAAAAAAQAgAAAAIgAA&#10;AGRycy9kb3ducmV2LnhtbFBLAQIUABQAAAAIAIdO4kAxnUV2CQIAADgEAAAOAAAAAAAAAAEAIAAA&#10;ACYBAABkcnMvZTJvRG9jLnhtbFBLBQYAAAAABgAGAFkBAAChBQAAAAA=&#10;">
                <v:fill on="t" focussize="0,0"/>
                <v:stroke color="#000000" joinstyle="miter"/>
                <v:imagedata o:title=""/>
                <o:lock v:ext="edit" aspectratio="f"/>
                <v:textbox>
                  <w:txbxContent>
                    <w:p w14:paraId="2A490BFB">
                      <w:pPr>
                        <w:ind w:firstLine="240" w:firstLineChars="100"/>
                        <w:rPr>
                          <w:sz w:val="24"/>
                        </w:rPr>
                      </w:pPr>
                      <w:r>
                        <w:rPr>
                          <w:rFonts w:hint="eastAsia" w:cs="宋体"/>
                          <w:sz w:val="24"/>
                        </w:rPr>
                        <w:t>格栅</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69504" behindDoc="0" locked="0" layoutInCell="1" allowOverlap="1">
                <wp:simplePos x="0" y="0"/>
                <wp:positionH relativeFrom="column">
                  <wp:posOffset>3771900</wp:posOffset>
                </wp:positionH>
                <wp:positionV relativeFrom="paragraph">
                  <wp:posOffset>198120</wp:posOffset>
                </wp:positionV>
                <wp:extent cx="457200" cy="635"/>
                <wp:effectExtent l="0" t="38100" r="0" b="37465"/>
                <wp:wrapNone/>
                <wp:docPr id="42" name="直接连接符 42"/>
                <wp:cNvGraphicFramePr/>
                <a:graphic xmlns:a="http://schemas.openxmlformats.org/drawingml/2006/main">
                  <a:graphicData uri="http://schemas.microsoft.com/office/word/2010/wordprocessingShape">
                    <wps:wsp>
                      <wps:cNvCnPr/>
                      <wps:spPr>
                        <a:xfrm flipH="1" flipV="1">
                          <a:off x="0" y="0"/>
                          <a:ext cx="4572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 y;margin-left:297pt;margin-top:15.6pt;height:0.05pt;width:36pt;z-index:251669504;mso-width-relative:page;mso-height-relative:page;" filled="f" stroked="t" coordsize="21600,21600" o:gfxdata="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j+hXPYAAAACQEAAA8AAAAAAAAAAQAg&#10;AAAAIgAAAGRycy9kb3ducmV2LnhtbFBLAQIUABQAAAAIAIdO4kCo7zzWDgIAAA0EAAAOAAAAAAAA&#10;AAEAIAAAACcBAABkcnMvZTJvRG9jLnhtbFBLBQYAAAAABgAGAFkBAACnBQ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99060</wp:posOffset>
                </wp:positionV>
                <wp:extent cx="685800" cy="297180"/>
                <wp:effectExtent l="4445" t="4445" r="8255" b="15875"/>
                <wp:wrapNone/>
                <wp:docPr id="45" name="矩形 45"/>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5F83BF">
                            <w:pPr>
                              <w:rPr>
                                <w:sz w:val="24"/>
                              </w:rPr>
                            </w:pPr>
                            <w:r>
                              <w:rPr>
                                <w:rFonts w:hint="eastAsia" w:cs="宋体"/>
                                <w:sz w:val="24"/>
                              </w:rPr>
                              <w:t>化粪池</w:t>
                            </w:r>
                          </w:p>
                        </w:txbxContent>
                      </wps:txbx>
                      <wps:bodyPr upright="1"/>
                    </wps:wsp>
                  </a:graphicData>
                </a:graphic>
              </wp:anchor>
            </w:drawing>
          </mc:Choice>
          <mc:Fallback>
            <w:pict>
              <v:rect id="_x0000_s1026" o:spid="_x0000_s1026" o:spt="1" style="position:absolute;left:0pt;margin-left:243pt;margin-top:7.8pt;height:23.4pt;width:54pt;z-index:251666432;mso-width-relative:page;mso-height-relative:page;" fillcolor="#FFFFFF" filled="t" stroked="t" coordsize="21600,21600" o:gfxdata="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vNFk7YAAAACQEAAA8AAAAAAAAAAQAgAAAAIgAA&#10;AGRycy9kb3ducmV2LnhtbFBLAQIUABQAAAAIAIdO4kDX02h4CAIAADgEAAAOAAAAAAAAAAEAIAAA&#10;ACcBAABkcnMvZTJvRG9jLnhtbFBLBQYAAAAABgAGAFkBAAChBQAAAAA=&#10;">
                <v:fill on="t" focussize="0,0"/>
                <v:stroke color="#000000" joinstyle="miter"/>
                <v:imagedata o:title=""/>
                <o:lock v:ext="edit" aspectratio="f"/>
                <v:textbox>
                  <w:txbxContent>
                    <w:p w14:paraId="245F83BF">
                      <w:pPr>
                        <w:rPr>
                          <w:sz w:val="24"/>
                        </w:rPr>
                      </w:pPr>
                      <w:r>
                        <w:rPr>
                          <w:rFonts w:hint="eastAsia" w:cs="宋体"/>
                          <w:sz w:val="24"/>
                        </w:rPr>
                        <w:t>化粪池</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68480" behindDoc="0" locked="0" layoutInCell="1" allowOverlap="1">
                <wp:simplePos x="0" y="0"/>
                <wp:positionH relativeFrom="column">
                  <wp:posOffset>2628900</wp:posOffset>
                </wp:positionH>
                <wp:positionV relativeFrom="paragraph">
                  <wp:posOffset>198120</wp:posOffset>
                </wp:positionV>
                <wp:extent cx="457200" cy="635"/>
                <wp:effectExtent l="0" t="37465" r="0" b="38100"/>
                <wp:wrapNone/>
                <wp:docPr id="29" name="直接连接符 29"/>
                <wp:cNvGraphicFramePr/>
                <a:graphic xmlns:a="http://schemas.openxmlformats.org/drawingml/2006/main">
                  <a:graphicData uri="http://schemas.microsoft.com/office/word/2010/wordprocessingShape">
                    <wps:wsp>
                      <wps:cNvCnPr/>
                      <wps:spPr>
                        <a:xfrm flipH="1">
                          <a:off x="0" y="0"/>
                          <a:ext cx="4572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7pt;margin-top:15.6pt;height:0.05pt;width:36pt;z-index:251668480;mso-width-relative:page;mso-height-relative:page;" filled="f" stroked="t" coordsize="21600,21600" o:gfxdata="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2awHZAAAACQEAAA8AAAAAAAAAAQAgAAAA&#10;IgAAAGRycy9kb3ducmV2LnhtbFBLAQIUABQAAAAIAIdO4kAGJJWUCgIAAAMEAAAOAAAAAAAAAAEA&#10;IAAAACgBAABkcnMvZTJvRG9jLnhtbFBLBQYAAAAABgAGAFkBAACkBQAAAAA=&#10;">
                <v:fill on="f" focussize="0,0"/>
                <v:stroke color="#000000" joinstyle="round" endarrow="block"/>
                <v:imagedata o:title=""/>
                <o:lock v:ext="edit" aspectratio="f"/>
              </v:line>
            </w:pict>
          </mc:Fallback>
        </mc:AlternateContent>
      </w:r>
      <w:r>
        <w:rPr>
          <w:rFonts w:hint="eastAsia" w:ascii="宋体" w:hAnsi="宋体" w:cs="宋体"/>
          <w:sz w:val="24"/>
          <w:szCs w:val="24"/>
        </w:rPr>
        <w:t xml:space="preserve">生活污水 </w:t>
      </w:r>
    </w:p>
    <w:p w14:paraId="2C770BDA">
      <w:pPr>
        <w:spacing w:line="440" w:lineRule="exact"/>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2395220</wp:posOffset>
                </wp:positionH>
                <wp:positionV relativeFrom="paragraph">
                  <wp:posOffset>161290</wp:posOffset>
                </wp:positionV>
                <wp:extent cx="635" cy="198120"/>
                <wp:effectExtent l="37465" t="0" r="38100" b="5080"/>
                <wp:wrapNone/>
                <wp:docPr id="34" name="直接连接符 34"/>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8.6pt;margin-top:12.7pt;height:15.6pt;width:0.05pt;z-index:251661312;mso-width-relative:page;mso-height-relative:page;" filled="f" stroked="t" coordsize="21600,21600" o:gfxdata="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&#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9BIn2gAAAAkBAAAPAAAAAAAAAAEAIAAAACIAAABk&#10;cnMvZG93bnJldi54bWxQSwECFAAUAAAACACHTuJAYMb9uwQCAAD5AwAADgAAAAAAAAABACAAAAAp&#10;AQAAZHJzL2Uyb0RvYy54bWxQSwUGAAAAAAYABgBZAQAAnwUAAAAA&#10;">
                <v:fill on="f" focussize="0,0"/>
                <v:stroke color="#000000" joinstyle="round" endarrow="block"/>
                <v:imagedata o:title=""/>
                <o:lock v:ext="edit" aspectratio="f"/>
              </v:line>
            </w:pict>
          </mc:Fallback>
        </mc:AlternateContent>
      </w:r>
    </w:p>
    <w:p w14:paraId="379E8041">
      <w:pPr>
        <w:spacing w:line="440" w:lineRule="exact"/>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2336" behindDoc="0" locked="0" layoutInCell="1" allowOverlap="1">
                <wp:simplePos x="0" y="0"/>
                <wp:positionH relativeFrom="column">
                  <wp:posOffset>1941195</wp:posOffset>
                </wp:positionH>
                <wp:positionV relativeFrom="paragraph">
                  <wp:posOffset>92710</wp:posOffset>
                </wp:positionV>
                <wp:extent cx="800100" cy="336550"/>
                <wp:effectExtent l="4445" t="4445" r="8255" b="14605"/>
                <wp:wrapNone/>
                <wp:docPr id="43" name="矩形 43"/>
                <wp:cNvGraphicFramePr/>
                <a:graphic xmlns:a="http://schemas.openxmlformats.org/drawingml/2006/main">
                  <a:graphicData uri="http://schemas.microsoft.com/office/word/2010/wordprocessingShape">
                    <wps:wsp>
                      <wps:cNvSpPr/>
                      <wps:spPr>
                        <a:xfrm>
                          <a:off x="0" y="0"/>
                          <a:ext cx="800100" cy="336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1B3828">
                            <w:pPr>
                              <w:jc w:val="center"/>
                              <w:rPr>
                                <w:sz w:val="24"/>
                              </w:rPr>
                            </w:pPr>
                            <w:r>
                              <w:rPr>
                                <w:rFonts w:hint="eastAsia" w:cs="宋体"/>
                                <w:sz w:val="24"/>
                              </w:rPr>
                              <w:t>调节池</w:t>
                            </w:r>
                          </w:p>
                        </w:txbxContent>
                      </wps:txbx>
                      <wps:bodyPr upright="1"/>
                    </wps:wsp>
                  </a:graphicData>
                </a:graphic>
              </wp:anchor>
            </w:drawing>
          </mc:Choice>
          <mc:Fallback>
            <w:pict>
              <v:rect id="_x0000_s1026" o:spid="_x0000_s1026" o:spt="1" style="position:absolute;left:0pt;margin-left:152.85pt;margin-top:7.3pt;height:26.5pt;width:63pt;z-index:251662336;mso-width-relative:page;mso-height-relative:page;" fillcolor="#FFFFFF" filled="t" stroked="t" coordsize="21600,21600" o:gfxdata="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OZ/dNcAAAAJAQAADwAAAAAAAAABACAAAAAiAAAA&#10;ZHJzL2Rvd25yZXYueG1sUEsBAhQAFAAAAAgAh07iQKOQmi4IAgAAOAQAAA4AAAAAAAAAAQAgAAAA&#10;JgEAAGRycy9lMm9Eb2MueG1sUEsFBgAAAAAGAAYAWQEAAKAFAAAAAA==&#10;">
                <v:fill on="t" focussize="0,0"/>
                <v:stroke color="#000000" joinstyle="miter"/>
                <v:imagedata o:title=""/>
                <o:lock v:ext="edit" aspectratio="f"/>
                <v:textbox>
                  <w:txbxContent>
                    <w:p w14:paraId="161B3828">
                      <w:pPr>
                        <w:jc w:val="center"/>
                        <w:rPr>
                          <w:sz w:val="24"/>
                        </w:rPr>
                      </w:pPr>
                      <w:r>
                        <w:rPr>
                          <w:rFonts w:hint="eastAsia" w:cs="宋体"/>
                          <w:sz w:val="24"/>
                        </w:rPr>
                        <w:t>调节池</w:t>
                      </w:r>
                    </w:p>
                  </w:txbxContent>
                </v:textbox>
              </v:rect>
            </w:pict>
          </mc:Fallback>
        </mc:AlternateContent>
      </w:r>
    </w:p>
    <w:p w14:paraId="35A8AEA4">
      <w:pPr>
        <w:spacing w:line="440" w:lineRule="exact"/>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75648" behindDoc="0" locked="0" layoutInCell="1" allowOverlap="1">
                <wp:simplePos x="0" y="0"/>
                <wp:positionH relativeFrom="column">
                  <wp:posOffset>2369820</wp:posOffset>
                </wp:positionH>
                <wp:positionV relativeFrom="paragraph">
                  <wp:posOffset>207010</wp:posOffset>
                </wp:positionV>
                <wp:extent cx="635" cy="198120"/>
                <wp:effectExtent l="37465" t="0" r="38100" b="5080"/>
                <wp:wrapNone/>
                <wp:docPr id="39" name="直接连接符 39"/>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6.6pt;margin-top:16.3pt;height:15.6pt;width:0.05pt;z-index:251675648;mso-width-relative:page;mso-height-relative:page;" filled="f" stroked="t" coordsize="21600,21600" o:gfxdata="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1M1O2QAAAAkBAAAPAAAAAAAAAAEAIAAAACIAAABk&#10;cnMvZG93bnJldi54bWxQSwECFAAUAAAACACHTuJAYLyPgAUCAAD5AwAADgAAAAAAAAABACAAAAAo&#10;AQAAZHJzL2Uyb0RvYy54bWxQSwUGAAAAAAYABgBZAQAAnwUAAAAA&#10;">
                <v:fill on="f" focussize="0,0"/>
                <v:stroke color="#000000" joinstyle="round" endarrow="block"/>
                <v:imagedata o:title=""/>
                <o:lock v:ext="edit" aspectratio="f"/>
              </v:line>
            </w:pict>
          </mc:Fallback>
        </mc:AlternateContent>
      </w:r>
    </w:p>
    <w:p w14:paraId="708D03AA">
      <w:pPr>
        <w:spacing w:line="440" w:lineRule="exact"/>
        <w:ind w:firstLine="6240" w:firstLineChars="26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72576" behindDoc="0" locked="0" layoutInCell="1" allowOverlap="1">
                <wp:simplePos x="0" y="0"/>
                <wp:positionH relativeFrom="column">
                  <wp:posOffset>1949450</wp:posOffset>
                </wp:positionH>
                <wp:positionV relativeFrom="paragraph">
                  <wp:posOffset>137795</wp:posOffset>
                </wp:positionV>
                <wp:extent cx="800100" cy="345440"/>
                <wp:effectExtent l="4445" t="4445" r="8255" b="5715"/>
                <wp:wrapNone/>
                <wp:docPr id="35" name="矩形 35"/>
                <wp:cNvGraphicFramePr/>
                <a:graphic xmlns:a="http://schemas.openxmlformats.org/drawingml/2006/main">
                  <a:graphicData uri="http://schemas.microsoft.com/office/word/2010/wordprocessingShape">
                    <wps:wsp>
                      <wps:cNvSpPr/>
                      <wps:spPr>
                        <a:xfrm>
                          <a:off x="0" y="0"/>
                          <a:ext cx="800100" cy="345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2BD73E">
                            <w:pPr>
                              <w:jc w:val="center"/>
                              <w:rPr>
                                <w:sz w:val="24"/>
                              </w:rPr>
                            </w:pPr>
                            <w:r>
                              <w:rPr>
                                <w:rFonts w:hint="eastAsia" w:cs="宋体"/>
                                <w:sz w:val="24"/>
                              </w:rPr>
                              <w:t>好氧池</w:t>
                            </w:r>
                          </w:p>
                        </w:txbxContent>
                      </wps:txbx>
                      <wps:bodyPr upright="1"/>
                    </wps:wsp>
                  </a:graphicData>
                </a:graphic>
              </wp:anchor>
            </w:drawing>
          </mc:Choice>
          <mc:Fallback>
            <w:pict>
              <v:rect id="_x0000_s1026" o:spid="_x0000_s1026" o:spt="1" style="position:absolute;left:0pt;margin-left:153.5pt;margin-top:10.85pt;height:27.2pt;width:63pt;z-index:251672576;mso-width-relative:page;mso-height-relative:page;" fillcolor="#FFFFFF" filled="t" stroked="t" coordsize="21600,21600" o:gfxdata="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gP8adgAAAAJAQAADwAAAAAAAAABACAAAAAiAAAA&#10;ZHJzL2Rvd25yZXYueG1sUEsBAhQAFAAAAAgAh07iQKJq5GcHAgAAOAQAAA4AAAAAAAAAAQAgAAAA&#10;JwEAAGRycy9lMm9Eb2MueG1sUEsFBgAAAAAGAAYAWQEAAKAFAAAAAA==&#10;">
                <v:fill on="t" focussize="0,0"/>
                <v:stroke color="#000000" joinstyle="miter"/>
                <v:imagedata o:title=""/>
                <o:lock v:ext="edit" aspectratio="f"/>
                <v:textbox>
                  <w:txbxContent>
                    <w:p w14:paraId="5E2BD73E">
                      <w:pPr>
                        <w:jc w:val="center"/>
                        <w:rPr>
                          <w:sz w:val="24"/>
                        </w:rPr>
                      </w:pPr>
                      <w:r>
                        <w:rPr>
                          <w:rFonts w:hint="eastAsia" w:cs="宋体"/>
                          <w:sz w:val="24"/>
                        </w:rPr>
                        <w:t>好氧池</w:t>
                      </w:r>
                    </w:p>
                  </w:txbxContent>
                </v:textbox>
              </v:rect>
            </w:pict>
          </mc:Fallback>
        </mc:AlternateContent>
      </w:r>
    </w:p>
    <w:p w14:paraId="1DBB849B">
      <w:pPr>
        <w:spacing w:line="440" w:lineRule="exact"/>
        <w:ind w:firstLine="6240" w:firstLineChars="2600"/>
        <w:rPr>
          <w:rFonts w:ascii="宋体" w:hAnsi="宋体" w:cs="宋体"/>
          <w:sz w:val="24"/>
          <w:szCs w:val="24"/>
        </w:rPr>
      </w:pPr>
    </w:p>
    <w:p w14:paraId="411A1377">
      <w:pPr>
        <w:spacing w:line="440" w:lineRule="exact"/>
        <w:ind w:firstLine="6240" w:firstLineChars="26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73600" behindDoc="0" locked="0" layoutInCell="1" allowOverlap="1">
                <wp:simplePos x="0" y="0"/>
                <wp:positionH relativeFrom="column">
                  <wp:posOffset>1942465</wp:posOffset>
                </wp:positionH>
                <wp:positionV relativeFrom="paragraph">
                  <wp:posOffset>252095</wp:posOffset>
                </wp:positionV>
                <wp:extent cx="800100" cy="336550"/>
                <wp:effectExtent l="4445" t="4445" r="8255" b="14605"/>
                <wp:wrapNone/>
                <wp:docPr id="21" name="矩形 21"/>
                <wp:cNvGraphicFramePr/>
                <a:graphic xmlns:a="http://schemas.openxmlformats.org/drawingml/2006/main">
                  <a:graphicData uri="http://schemas.microsoft.com/office/word/2010/wordprocessingShape">
                    <wps:wsp>
                      <wps:cNvSpPr/>
                      <wps:spPr>
                        <a:xfrm>
                          <a:off x="0" y="0"/>
                          <a:ext cx="800100" cy="336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7A39BA">
                            <w:pPr>
                              <w:jc w:val="center"/>
                              <w:rPr>
                                <w:sz w:val="24"/>
                              </w:rPr>
                            </w:pPr>
                            <w:r>
                              <w:rPr>
                                <w:rFonts w:hint="eastAsia" w:cs="宋体"/>
                                <w:sz w:val="24"/>
                              </w:rPr>
                              <w:t>沉淀池</w:t>
                            </w:r>
                          </w:p>
                        </w:txbxContent>
                      </wps:txbx>
                      <wps:bodyPr upright="1"/>
                    </wps:wsp>
                  </a:graphicData>
                </a:graphic>
              </wp:anchor>
            </w:drawing>
          </mc:Choice>
          <mc:Fallback>
            <w:pict>
              <v:rect id="_x0000_s1026" o:spid="_x0000_s1026" o:spt="1" style="position:absolute;left:0pt;margin-left:152.95pt;margin-top:19.85pt;height:26.5pt;width:63pt;z-index:251673600;mso-width-relative:page;mso-height-relative:page;" fillcolor="#FFFFFF" filled="t" stroked="t" coordsize="21600,21600" o:gfxdata="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&#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7Iwyr1wAAAAkBAAAPAAAAAAAAAAEAIAAAACIAAABk&#10;cnMvZG93bnJldi54bWxQSwECFAAUAAAACACHTuJA+ctdEwcCAAA4BAAADgAAAAAAAAABACAAAAAm&#10;AQAAZHJzL2Uyb0RvYy54bWxQSwUGAAAAAAYABgBZAQAAnwUAAAAA&#10;">
                <v:fill on="t" focussize="0,0"/>
                <v:stroke color="#000000" joinstyle="miter"/>
                <v:imagedata o:title=""/>
                <o:lock v:ext="edit" aspectratio="f"/>
                <v:textbox>
                  <w:txbxContent>
                    <w:p w14:paraId="5C7A39BA">
                      <w:pPr>
                        <w:jc w:val="center"/>
                        <w:rPr>
                          <w:sz w:val="24"/>
                        </w:rPr>
                      </w:pPr>
                      <w:r>
                        <w:rPr>
                          <w:rFonts w:hint="eastAsia" w:cs="宋体"/>
                          <w:sz w:val="24"/>
                        </w:rPr>
                        <w:t>沉淀池</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74624" behindDoc="0" locked="0" layoutInCell="1" allowOverlap="1">
                <wp:simplePos x="0" y="0"/>
                <wp:positionH relativeFrom="column">
                  <wp:posOffset>3543935</wp:posOffset>
                </wp:positionH>
                <wp:positionV relativeFrom="paragraph">
                  <wp:posOffset>271145</wp:posOffset>
                </wp:positionV>
                <wp:extent cx="800100" cy="336550"/>
                <wp:effectExtent l="4445" t="4445" r="8255" b="14605"/>
                <wp:wrapNone/>
                <wp:docPr id="33" name="矩形 33"/>
                <wp:cNvGraphicFramePr/>
                <a:graphic xmlns:a="http://schemas.openxmlformats.org/drawingml/2006/main">
                  <a:graphicData uri="http://schemas.microsoft.com/office/word/2010/wordprocessingShape">
                    <wps:wsp>
                      <wps:cNvSpPr/>
                      <wps:spPr>
                        <a:xfrm>
                          <a:off x="0" y="0"/>
                          <a:ext cx="800100" cy="3365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F50ECB">
                            <w:pPr>
                              <w:jc w:val="center"/>
                              <w:rPr>
                                <w:sz w:val="24"/>
                              </w:rPr>
                            </w:pPr>
                            <w:r>
                              <w:rPr>
                                <w:rFonts w:hint="eastAsia" w:cs="宋体"/>
                                <w:sz w:val="24"/>
                              </w:rPr>
                              <w:t>污泥池</w:t>
                            </w:r>
                          </w:p>
                        </w:txbxContent>
                      </wps:txbx>
                      <wps:bodyPr upright="1"/>
                    </wps:wsp>
                  </a:graphicData>
                </a:graphic>
              </wp:anchor>
            </w:drawing>
          </mc:Choice>
          <mc:Fallback>
            <w:pict>
              <v:rect id="_x0000_s1026" o:spid="_x0000_s1026" o:spt="1" style="position:absolute;left:0pt;margin-left:279.05pt;margin-top:21.35pt;height:26.5pt;width:63pt;z-index:251674624;mso-width-relative:page;mso-height-relative:page;" fillcolor="#FFFFFF" filled="t" stroked="t" coordsize="21600,21600" o:gfxdata="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hFBN2QAAAAkBAAAPAAAAAAAAAAEAIAAAACIA&#10;AABkcnMvZG93bnJldi54bWxQSwECFAAUAAAACACHTuJAi1QYnggCAAA4BAAADgAAAAAAAAABACAA&#10;AAAoAQAAZHJzL2Uyb0RvYy54bWxQSwUGAAAAAAYABgBZAQAAogUAAAAA&#10;">
                <v:fill on="t" focussize="0,0"/>
                <v:stroke color="#000000" joinstyle="miter"/>
                <v:imagedata o:title=""/>
                <o:lock v:ext="edit" aspectratio="f"/>
                <v:textbox>
                  <w:txbxContent>
                    <w:p w14:paraId="6BF50ECB">
                      <w:pPr>
                        <w:jc w:val="center"/>
                        <w:rPr>
                          <w:sz w:val="24"/>
                        </w:rPr>
                      </w:pPr>
                      <w:r>
                        <w:rPr>
                          <w:rFonts w:hint="eastAsia" w:cs="宋体"/>
                          <w:sz w:val="24"/>
                        </w:rPr>
                        <w:t>污泥池</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76672" behindDoc="0" locked="0" layoutInCell="1" allowOverlap="1">
                <wp:simplePos x="0" y="0"/>
                <wp:positionH relativeFrom="column">
                  <wp:posOffset>2393315</wp:posOffset>
                </wp:positionH>
                <wp:positionV relativeFrom="paragraph">
                  <wp:posOffset>5715</wp:posOffset>
                </wp:positionV>
                <wp:extent cx="635" cy="198120"/>
                <wp:effectExtent l="37465" t="0" r="38100" b="5080"/>
                <wp:wrapNone/>
                <wp:docPr id="38" name="直接连接符 3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8.45pt;margin-top:0.45pt;height:15.6pt;width:0.05pt;z-index:251676672;mso-width-relative:page;mso-height-relative:page;" filled="f" stroked="t" coordsize="21600,21600" o:gfxdata="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PgP1zZAAAABwEAAA8AAAAAAAAAAQAgAAAAIgAAAGRy&#10;cy9kb3ducmV2LnhtbFBLAQIUABQAAAAIAIdO4kBgXvGFBAIAAPkDAAAOAAAAAAAAAAEAIAAAACgB&#10;AABkcnMvZTJvRG9jLnhtbFBLBQYAAAAABgAGAFkBAACeBQAAAAA=&#10;">
                <v:fill on="f" focussize="0,0"/>
                <v:stroke color="#000000" joinstyle="round" endarrow="block"/>
                <v:imagedata o:title=""/>
                <o:lock v:ext="edit" aspectratio="f"/>
              </v:line>
            </w:pict>
          </mc:Fallback>
        </mc:AlternateContent>
      </w:r>
    </w:p>
    <w:p w14:paraId="145EB6A5">
      <w:pPr>
        <w:spacing w:line="440" w:lineRule="exact"/>
        <w:ind w:firstLine="6240" w:firstLineChars="26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71552" behindDoc="0" locked="0" layoutInCell="1" allowOverlap="1">
                <wp:simplePos x="0" y="0"/>
                <wp:positionH relativeFrom="column">
                  <wp:posOffset>2922270</wp:posOffset>
                </wp:positionH>
                <wp:positionV relativeFrom="paragraph">
                  <wp:posOffset>111760</wp:posOffset>
                </wp:positionV>
                <wp:extent cx="571500" cy="635"/>
                <wp:effectExtent l="0" t="37465" r="0" b="38100"/>
                <wp:wrapNone/>
                <wp:docPr id="30" name="直接连接符 30"/>
                <wp:cNvGraphicFramePr/>
                <a:graphic xmlns:a="http://schemas.openxmlformats.org/drawingml/2006/main">
                  <a:graphicData uri="http://schemas.microsoft.com/office/word/2010/wordprocessingShape">
                    <wps:wsp>
                      <wps:cNvCnPr/>
                      <wps:spPr>
                        <a:xfrm>
                          <a:off x="0" y="0"/>
                          <a:ext cx="5715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0.1pt;margin-top:8.8pt;height:0.05pt;width:45pt;z-index:251671552;mso-width-relative:page;mso-height-relative:page;" filled="f" stroked="t" coordsize="21600,21600" o:gfxdata="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kmKLYAAAACQEAAA8AAAAAAAAAAQAgAAAAIgAAAGRycy9k&#10;b3ducmV2LnhtbFBLAQIUABQAAAAIAIdO4kA66ew9AgIAAPkDAAAOAAAAAAAAAAEAIAAAACcBAABk&#10;cnMvZTJvRG9jLnhtbFBLBQYAAAAABgAGAFkBAACbBQAAAAA=&#10;">
                <v:fill on="f" focussize="0,0"/>
                <v:stroke color="#000000" joinstyle="round" endarrow="block"/>
                <v:imagedata o:title=""/>
                <o:lock v:ext="edit" aspectratio="f"/>
              </v:line>
            </w:pict>
          </mc:Fallback>
        </mc:AlternateContent>
      </w:r>
    </w:p>
    <w:p w14:paraId="1398AF49">
      <w:pPr>
        <w:spacing w:line="440" w:lineRule="exact"/>
        <w:ind w:firstLine="6240" w:firstLineChars="26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78720" behindDoc="0" locked="0" layoutInCell="1" allowOverlap="1">
                <wp:simplePos x="0" y="0"/>
                <wp:positionH relativeFrom="column">
                  <wp:posOffset>3930650</wp:posOffset>
                </wp:positionH>
                <wp:positionV relativeFrom="paragraph">
                  <wp:posOffset>65405</wp:posOffset>
                </wp:positionV>
                <wp:extent cx="635" cy="396240"/>
                <wp:effectExtent l="37465" t="0" r="38100" b="10160"/>
                <wp:wrapNone/>
                <wp:docPr id="36" name="直接连接符 3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309.5pt;margin-top:5.15pt;height:31.2pt;width:0.05pt;z-index:251678720;mso-width-relative:page;mso-height-relative:page;" filled="f" stroked="t" coordsize="21600,21600" o:gfxdata="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&#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MKPX2QAAAAkBAAAPAAAAAAAAAAEAIAAAACIAAABk&#10;cnMvZG93bnJldi54bWxQSwECFAAUAAAACACHTuJAc7CTBwUCAAD5AwAADgAAAAAAAAABACAAAAAo&#10;AQAAZHJzL2Uyb0RvYy54bWxQSwUGAAAAAAYABgBZAQAAnwU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77696" behindDoc="0" locked="0" layoutInCell="1" allowOverlap="1">
                <wp:simplePos x="0" y="0"/>
                <wp:positionH relativeFrom="column">
                  <wp:posOffset>2374265</wp:posOffset>
                </wp:positionH>
                <wp:positionV relativeFrom="paragraph">
                  <wp:posOffset>130810</wp:posOffset>
                </wp:positionV>
                <wp:extent cx="635" cy="198120"/>
                <wp:effectExtent l="37465" t="0" r="38100" b="5080"/>
                <wp:wrapNone/>
                <wp:docPr id="31" name="直接连接符 31"/>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6.95pt;margin-top:10.3pt;height:15.6pt;width:0.05pt;z-index:251677696;mso-width-relative:page;mso-height-relative:page;" filled="f" stroked="t" coordsize="21600,21600" o:gfxdata="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bR69sAAAAJAQAADwAAAAAAAAABACAAAAAiAAAA&#10;ZHJzL2Rvd25yZXYueG1sUEsBAhQAFAAAAAgAh07iQGCseKsEAgAA+QMAAA4AAAAAAAAAAQAgAAAA&#10;KgEAAGRycy9lMm9Eb2MueG1sUEsFBgAAAAAGAAYAWQEAAKAFAAAAAA==&#10;">
                <v:fill on="f" focussize="0,0"/>
                <v:stroke color="#000000" joinstyle="round" endarrow="block"/>
                <v:imagedata o:title=""/>
                <o:lock v:ext="edit" aspectratio="f"/>
              </v:line>
            </w:pict>
          </mc:Fallback>
        </mc:AlternateContent>
      </w:r>
    </w:p>
    <w:p w14:paraId="045D7051">
      <w:pPr>
        <w:spacing w:line="440" w:lineRule="exact"/>
        <w:ind w:firstLine="6240" w:firstLineChars="26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4384" behindDoc="0" locked="0" layoutInCell="1" allowOverlap="1">
                <wp:simplePos x="0" y="0"/>
                <wp:positionH relativeFrom="column">
                  <wp:posOffset>245110</wp:posOffset>
                </wp:positionH>
                <wp:positionV relativeFrom="paragraph">
                  <wp:posOffset>78740</wp:posOffset>
                </wp:positionV>
                <wp:extent cx="1053465" cy="297180"/>
                <wp:effectExtent l="4445" t="4445" r="8890" b="15875"/>
                <wp:wrapNone/>
                <wp:docPr id="23" name="矩形 23"/>
                <wp:cNvGraphicFramePr/>
                <a:graphic xmlns:a="http://schemas.openxmlformats.org/drawingml/2006/main">
                  <a:graphicData uri="http://schemas.microsoft.com/office/word/2010/wordprocessingShape">
                    <wps:wsp>
                      <wps:cNvSpPr/>
                      <wps:spPr>
                        <a:xfrm flipV="1">
                          <a:off x="0" y="0"/>
                          <a:ext cx="105346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B00279D">
                            <w:pPr>
                              <w:jc w:val="center"/>
                              <w:rPr>
                                <w:sz w:val="24"/>
                              </w:rPr>
                            </w:pPr>
                            <w:r>
                              <w:rPr>
                                <w:rFonts w:hint="eastAsia" w:cs="宋体"/>
                                <w:sz w:val="24"/>
                              </w:rPr>
                              <w:t>投药器</w:t>
                            </w:r>
                          </w:p>
                        </w:txbxContent>
                      </wps:txbx>
                      <wps:bodyPr upright="1"/>
                    </wps:wsp>
                  </a:graphicData>
                </a:graphic>
              </wp:anchor>
            </w:drawing>
          </mc:Choice>
          <mc:Fallback>
            <w:pict>
              <v:rect id="_x0000_s1026" o:spid="_x0000_s1026" o:spt="1" style="position:absolute;left:0pt;flip:y;margin-left:19.3pt;margin-top:6.2pt;height:23.4pt;width:82.95pt;z-index:251664384;mso-width-relative:page;mso-height-relative:page;" fillcolor="#FFFFFF" filled="t" stroked="t" coordsize="21600,21600" o:gfxdata="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Cq5F9cAAAAIAQAADwAAAAAAAAAB&#10;ACAAAAAiAAAAZHJzL2Rvd25yZXYueG1sUEsBAhQAFAAAAAgAh07iQB4I88MRAgAAQwQAAA4AAAAA&#10;AAAAAQAgAAAAJgEAAGRycy9lMm9Eb2MueG1sUEsFBgAAAAAGAAYAWQEAAKkFAAAAAA==&#10;">
                <v:fill on="t" focussize="0,0"/>
                <v:stroke color="#000000" joinstyle="miter"/>
                <v:imagedata o:title=""/>
                <o:lock v:ext="edit" aspectratio="f"/>
                <v:textbox>
                  <w:txbxContent>
                    <w:p w14:paraId="4B00279D">
                      <w:pPr>
                        <w:jc w:val="center"/>
                        <w:rPr>
                          <w:sz w:val="24"/>
                        </w:rPr>
                      </w:pPr>
                      <w:r>
                        <w:rPr>
                          <w:rFonts w:hint="eastAsia" w:cs="宋体"/>
                          <w:sz w:val="24"/>
                        </w:rPr>
                        <w:t>投药器</w:t>
                      </w:r>
                    </w:p>
                  </w:txbxContent>
                </v:textbox>
              </v:rect>
            </w:pict>
          </mc:Fallback>
        </mc:AlternateContent>
      </w:r>
      <w:r>
        <w:rPr>
          <w:rFonts w:ascii="宋体" w:hAnsi="宋体" w:cs="宋体"/>
          <w:sz w:val="24"/>
          <w:szCs w:val="24"/>
        </w:rPr>
        <mc:AlternateContent>
          <mc:Choice Requires="wps">
            <w:drawing>
              <wp:anchor distT="0" distB="0" distL="114300" distR="114300" simplePos="0" relativeHeight="251670528" behindDoc="0" locked="0" layoutInCell="1" allowOverlap="1">
                <wp:simplePos x="0" y="0"/>
                <wp:positionH relativeFrom="column">
                  <wp:posOffset>1296035</wp:posOffset>
                </wp:positionH>
                <wp:positionV relativeFrom="paragraph">
                  <wp:posOffset>256540</wp:posOffset>
                </wp:positionV>
                <wp:extent cx="571500" cy="635"/>
                <wp:effectExtent l="0" t="37465" r="0" b="38100"/>
                <wp:wrapNone/>
                <wp:docPr id="41" name="直接连接符 41"/>
                <wp:cNvGraphicFramePr/>
                <a:graphic xmlns:a="http://schemas.openxmlformats.org/drawingml/2006/main">
                  <a:graphicData uri="http://schemas.microsoft.com/office/word/2010/wordprocessingShape">
                    <wps:wsp>
                      <wps:cNvCnPr/>
                      <wps:spPr>
                        <a:xfrm>
                          <a:off x="0" y="0"/>
                          <a:ext cx="5715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02.05pt;margin-top:20.2pt;height:0.05pt;width:45pt;z-index:251670528;mso-width-relative:page;mso-height-relative:page;" filled="f" stroked="t" coordsize="21600,21600" o:gfxdata="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cTErrYAAAACQEAAA8AAAAAAAAAAQAgAAAAIgAAAGRycy9k&#10;b3ducmV2LnhtbFBLAQIUABQAAAAIAIdO4kCUc4g4AgIAAPk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sz w:val="24"/>
          <w:szCs w:val="24"/>
        </w:rPr>
        <mc:AlternateContent>
          <mc:Choice Requires="wps">
            <w:drawing>
              <wp:anchor distT="0" distB="0" distL="114300" distR="114300" simplePos="0" relativeHeight="251665408" behindDoc="0" locked="0" layoutInCell="1" allowOverlap="1">
                <wp:simplePos x="0" y="0"/>
                <wp:positionH relativeFrom="column">
                  <wp:posOffset>1880870</wp:posOffset>
                </wp:positionH>
                <wp:positionV relativeFrom="paragraph">
                  <wp:posOffset>85090</wp:posOffset>
                </wp:positionV>
                <wp:extent cx="914400" cy="297180"/>
                <wp:effectExtent l="4445" t="4445" r="8255" b="15875"/>
                <wp:wrapNone/>
                <wp:docPr id="25" name="矩形 25"/>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D38481">
                            <w:pPr>
                              <w:jc w:val="center"/>
                              <w:rPr>
                                <w:sz w:val="24"/>
                              </w:rPr>
                            </w:pPr>
                            <w:r>
                              <w:rPr>
                                <w:rFonts w:hint="eastAsia" w:cs="宋体"/>
                                <w:sz w:val="24"/>
                              </w:rPr>
                              <w:t>消毒池</w:t>
                            </w:r>
                          </w:p>
                        </w:txbxContent>
                      </wps:txbx>
                      <wps:bodyPr upright="1"/>
                    </wps:wsp>
                  </a:graphicData>
                </a:graphic>
              </wp:anchor>
            </w:drawing>
          </mc:Choice>
          <mc:Fallback>
            <w:pict>
              <v:rect id="_x0000_s1026" o:spid="_x0000_s1026" o:spt="1" style="position:absolute;left:0pt;margin-left:148.1pt;margin-top:6.7pt;height:23.4pt;width:72pt;z-index:251665408;mso-width-relative:page;mso-height-relative:page;" fillcolor="#FFFFFF" filled="t" stroked="t" coordsize="21600,21600" o:gfxdata="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&#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LKm1wAAAAkBAAAPAAAAAAAAAAEAIAAAACIAAABk&#10;cnMvZG93bnJldi54bWxQSwECFAAUAAAACACHTuJAYVPSJQcCAAA4BAAADgAAAAAAAAABACAAAAAm&#10;AQAAZHJzL2Uyb0RvYy54bWxQSwUGAAAAAAYABgBZAQAAnwUAAAAA&#10;">
                <v:fill on="t" focussize="0,0"/>
                <v:stroke color="#000000" joinstyle="miter"/>
                <v:imagedata o:title=""/>
                <o:lock v:ext="edit" aspectratio="f"/>
                <v:textbox>
                  <w:txbxContent>
                    <w:p w14:paraId="43D38481">
                      <w:pPr>
                        <w:jc w:val="center"/>
                        <w:rPr>
                          <w:sz w:val="24"/>
                        </w:rPr>
                      </w:pPr>
                      <w:r>
                        <w:rPr>
                          <w:rFonts w:hint="eastAsia" w:cs="宋体"/>
                          <w:sz w:val="24"/>
                        </w:rPr>
                        <w:t>消毒池</w:t>
                      </w:r>
                    </w:p>
                  </w:txbxContent>
                </v:textbox>
              </v:rect>
            </w:pict>
          </mc:Fallback>
        </mc:AlternateContent>
      </w:r>
    </w:p>
    <w:p w14:paraId="3176A269">
      <w:pPr>
        <w:spacing w:line="440" w:lineRule="exact"/>
        <w:ind w:firstLine="5280" w:firstLineChars="2200"/>
        <w:rPr>
          <w:rFonts w:ascii="宋体" w:hAnsi="宋体" w:cs="宋体"/>
          <w:sz w:val="24"/>
          <w:szCs w:val="24"/>
        </w:rPr>
      </w:pPr>
      <w:r>
        <w:rPr>
          <w:rFonts w:ascii="宋体" w:hAnsi="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2361565</wp:posOffset>
                </wp:positionH>
                <wp:positionV relativeFrom="paragraph">
                  <wp:posOffset>130810</wp:posOffset>
                </wp:positionV>
                <wp:extent cx="635" cy="297180"/>
                <wp:effectExtent l="37465" t="0" r="38100" b="7620"/>
                <wp:wrapNone/>
                <wp:docPr id="27" name="直接连接符 27"/>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85.95pt;margin-top:10.3pt;height:23.4pt;width:0.05pt;z-index:251663360;mso-width-relative:page;mso-height-relative:page;" filled="f" stroked="t" coordsize="21600,21600" o:gfxdata="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78cRt2gAAAAkBAAAPAAAAAAAAAAEAIAAAACIAAABk&#10;cnMvZG93bnJldi54bWxQSwECFAAUAAAACACHTuJA4W2cBQQCAAD5AwAADgAAAAAAAAABACAAAAAp&#10;AQAAZHJzL2Uyb0RvYy54bWxQSwUGAAAAAAYABgBZAQAAnwUAAAAA&#10;">
                <v:fill on="f" focussize="0,0"/>
                <v:stroke color="#000000" joinstyle="round" endarrow="block"/>
                <v:imagedata o:title=""/>
                <o:lock v:ext="edit" aspectratio="f"/>
              </v:line>
            </w:pict>
          </mc:Fallback>
        </mc:AlternateContent>
      </w:r>
      <w:r>
        <w:rPr>
          <w:rFonts w:hint="eastAsia" w:ascii="宋体" w:hAnsi="宋体" w:cs="宋体"/>
          <w:sz w:val="24"/>
          <w:szCs w:val="24"/>
        </w:rPr>
        <w:t>污泥外运环保处理</w:t>
      </w:r>
    </w:p>
    <w:p w14:paraId="16A3F3A8">
      <w:pPr>
        <w:spacing w:line="440" w:lineRule="exact"/>
        <w:ind w:firstLine="6240" w:firstLineChars="2600"/>
        <w:rPr>
          <w:rFonts w:ascii="宋体" w:hAnsi="宋体" w:cs="宋体"/>
          <w:sz w:val="24"/>
          <w:szCs w:val="24"/>
        </w:rPr>
      </w:pPr>
    </w:p>
    <w:p w14:paraId="60F4FDE4">
      <w:pPr>
        <w:spacing w:line="440" w:lineRule="exact"/>
        <w:ind w:firstLine="3360" w:firstLineChars="1400"/>
      </w:pPr>
      <w:r>
        <w:rPr>
          <w:rFonts w:hint="eastAsia" w:ascii="宋体" w:hAnsi="宋体" w:cs="宋体"/>
          <w:sz w:val="24"/>
          <w:szCs w:val="24"/>
        </w:rPr>
        <w:t>排入市政管网</w:t>
      </w:r>
    </w:p>
    <w:p w14:paraId="49DE6333">
      <w:pPr>
        <w:spacing w:line="440" w:lineRule="exact"/>
        <w:jc w:val="center"/>
        <w:rPr>
          <w:rFonts w:hint="eastAsia" w:ascii="宋体" w:hAnsi="宋体" w:cs="宋体"/>
          <w:b/>
          <w:sz w:val="40"/>
          <w:szCs w:val="40"/>
          <w:lang w:val="en-US" w:eastAsia="zh-CN"/>
        </w:rPr>
      </w:pPr>
    </w:p>
    <w:p w14:paraId="184DBAD8">
      <w:pPr>
        <w:spacing w:line="440" w:lineRule="exact"/>
        <w:jc w:val="center"/>
        <w:rPr>
          <w:rFonts w:hint="eastAsia" w:ascii="宋体" w:hAnsi="宋体" w:cs="宋体"/>
          <w:b/>
          <w:sz w:val="40"/>
          <w:szCs w:val="40"/>
          <w:lang w:val="en-US" w:eastAsia="zh-CN"/>
        </w:rPr>
      </w:pPr>
    </w:p>
    <w:p w14:paraId="16BDF0C8">
      <w:pPr>
        <w:spacing w:line="440" w:lineRule="exact"/>
        <w:jc w:val="center"/>
        <w:rPr>
          <w:rFonts w:hint="eastAsia" w:ascii="宋体" w:hAnsi="宋体" w:cs="宋体"/>
          <w:b/>
          <w:sz w:val="40"/>
          <w:szCs w:val="40"/>
          <w:lang w:val="en-US" w:eastAsia="zh-CN"/>
        </w:rPr>
      </w:pPr>
    </w:p>
    <w:p w14:paraId="4301965B">
      <w:pPr>
        <w:spacing w:line="440" w:lineRule="exact"/>
        <w:jc w:val="center"/>
        <w:rPr>
          <w:rFonts w:hint="eastAsia" w:ascii="宋体" w:hAnsi="宋体" w:cs="宋体"/>
          <w:b/>
          <w:sz w:val="40"/>
          <w:szCs w:val="40"/>
          <w:lang w:val="en-US" w:eastAsia="zh-CN"/>
        </w:rPr>
      </w:pPr>
    </w:p>
    <w:p w14:paraId="7F1963EA">
      <w:pPr>
        <w:spacing w:line="440" w:lineRule="exact"/>
        <w:jc w:val="center"/>
        <w:rPr>
          <w:rFonts w:hint="eastAsia" w:ascii="宋体" w:hAnsi="宋体" w:cs="宋体"/>
          <w:b/>
          <w:sz w:val="40"/>
          <w:szCs w:val="40"/>
          <w:lang w:val="en-US" w:eastAsia="zh-CN"/>
        </w:rPr>
      </w:pPr>
    </w:p>
    <w:p w14:paraId="0F318A81">
      <w:pPr>
        <w:spacing w:line="440" w:lineRule="exact"/>
        <w:jc w:val="center"/>
        <w:rPr>
          <w:rFonts w:hint="eastAsia" w:ascii="宋体" w:hAnsi="宋体" w:cs="宋体"/>
          <w:b/>
          <w:sz w:val="40"/>
          <w:szCs w:val="40"/>
          <w:lang w:val="en-US" w:eastAsia="zh-CN"/>
        </w:rPr>
      </w:pPr>
    </w:p>
    <w:p w14:paraId="3F0449C5">
      <w:pPr>
        <w:spacing w:line="440" w:lineRule="exact"/>
        <w:jc w:val="center"/>
        <w:rPr>
          <w:rFonts w:hint="eastAsia" w:ascii="宋体" w:hAnsi="宋体" w:cs="宋体"/>
          <w:b/>
          <w:sz w:val="40"/>
          <w:szCs w:val="40"/>
          <w:lang w:val="en-US" w:eastAsia="zh-CN"/>
        </w:rPr>
      </w:pPr>
    </w:p>
    <w:p w14:paraId="617A365D">
      <w:pPr>
        <w:spacing w:line="440" w:lineRule="exact"/>
        <w:jc w:val="center"/>
        <w:rPr>
          <w:rFonts w:hint="eastAsia" w:ascii="宋体" w:hAnsi="宋体" w:cs="宋体"/>
          <w:b/>
          <w:sz w:val="40"/>
          <w:szCs w:val="40"/>
          <w:lang w:val="en-US" w:eastAsia="zh-CN"/>
        </w:rPr>
      </w:pPr>
    </w:p>
    <w:p w14:paraId="379DB95B">
      <w:pPr>
        <w:spacing w:line="440" w:lineRule="exact"/>
        <w:jc w:val="center"/>
        <w:rPr>
          <w:rFonts w:hint="eastAsia" w:ascii="宋体" w:hAnsi="宋体" w:cs="宋体"/>
          <w:b/>
          <w:sz w:val="40"/>
          <w:szCs w:val="40"/>
          <w:lang w:val="en-US" w:eastAsia="zh-CN"/>
        </w:rPr>
      </w:pPr>
    </w:p>
    <w:p w14:paraId="147B1EE5">
      <w:pPr>
        <w:spacing w:line="440" w:lineRule="exact"/>
        <w:jc w:val="center"/>
        <w:rPr>
          <w:rFonts w:hint="eastAsia" w:ascii="宋体" w:hAnsi="宋体" w:cs="宋体"/>
          <w:b/>
          <w:sz w:val="40"/>
          <w:szCs w:val="40"/>
          <w:lang w:val="en-US" w:eastAsia="zh-CN"/>
        </w:rPr>
      </w:pPr>
    </w:p>
    <w:p w14:paraId="57762479">
      <w:pPr>
        <w:spacing w:line="440" w:lineRule="exact"/>
        <w:jc w:val="center"/>
        <w:rPr>
          <w:rFonts w:hint="eastAsia" w:ascii="宋体" w:hAnsi="宋体" w:cs="宋体"/>
          <w:b/>
          <w:sz w:val="40"/>
          <w:szCs w:val="40"/>
          <w:lang w:val="en-US" w:eastAsia="zh-CN"/>
        </w:rPr>
      </w:pPr>
    </w:p>
    <w:p w14:paraId="1F814ABF">
      <w:pPr>
        <w:spacing w:line="440" w:lineRule="exact"/>
        <w:jc w:val="both"/>
        <w:rPr>
          <w:rFonts w:hint="eastAsia" w:ascii="宋体" w:hAnsi="宋体" w:cs="宋体"/>
          <w:b/>
          <w:sz w:val="40"/>
          <w:szCs w:val="40"/>
          <w:lang w:val="en-US" w:eastAsia="zh-CN"/>
        </w:rPr>
      </w:pPr>
    </w:p>
    <w:p w14:paraId="7A98BF16">
      <w:pPr>
        <w:spacing w:line="440" w:lineRule="exact"/>
        <w:jc w:val="center"/>
        <w:rPr>
          <w:rFonts w:ascii="宋体" w:hAnsi="宋体" w:cs="宋体"/>
          <w:b/>
          <w:sz w:val="40"/>
          <w:szCs w:val="40"/>
        </w:rPr>
      </w:pPr>
      <w:r>
        <w:rPr>
          <w:rFonts w:hint="eastAsia" w:ascii="宋体" w:hAnsi="宋体" w:cs="宋体"/>
          <w:b/>
          <w:sz w:val="40"/>
          <w:szCs w:val="40"/>
          <w:lang w:val="en-US" w:eastAsia="zh-CN"/>
        </w:rPr>
        <w:t>新院区</w:t>
      </w:r>
      <w:r>
        <w:rPr>
          <w:rFonts w:hint="eastAsia" w:ascii="宋体" w:hAnsi="宋体" w:cs="宋体"/>
          <w:b/>
          <w:sz w:val="40"/>
          <w:szCs w:val="40"/>
        </w:rPr>
        <w:t>采购需求</w:t>
      </w:r>
    </w:p>
    <w:tbl>
      <w:tblPr>
        <w:tblStyle w:val="8"/>
        <w:tblpPr w:leftFromText="180" w:rightFromText="180" w:vertAnchor="text" w:horzAnchor="page" w:tblpXSpec="center" w:tblpY="212"/>
        <w:tblOverlap w:val="never"/>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0"/>
        <w:gridCol w:w="6623"/>
      </w:tblGrid>
      <w:tr w14:paraId="58DB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3340" w:type="dxa"/>
            <w:vAlign w:val="center"/>
          </w:tcPr>
          <w:p w14:paraId="2484F0F2">
            <w:pPr>
              <w:spacing w:line="440" w:lineRule="exact"/>
              <w:jc w:val="center"/>
              <w:rPr>
                <w:rFonts w:ascii="宋体" w:hAnsi="宋体" w:cs="宋体"/>
                <w:sz w:val="24"/>
                <w:szCs w:val="24"/>
              </w:rPr>
            </w:pPr>
            <w:r>
              <w:rPr>
                <w:rFonts w:hint="eastAsia" w:ascii="宋体" w:hAnsi="宋体" w:cs="宋体"/>
                <w:sz w:val="24"/>
                <w:szCs w:val="24"/>
              </w:rPr>
              <w:t>名称</w:t>
            </w:r>
          </w:p>
        </w:tc>
        <w:tc>
          <w:tcPr>
            <w:tcW w:w="6623" w:type="dxa"/>
            <w:vAlign w:val="center"/>
          </w:tcPr>
          <w:p w14:paraId="4B84C9EE">
            <w:pPr>
              <w:spacing w:line="440" w:lineRule="exact"/>
              <w:jc w:val="center"/>
              <w:rPr>
                <w:rFonts w:hint="default" w:ascii="宋体" w:hAnsi="宋体" w:eastAsia="宋体" w:cs="宋体"/>
                <w:sz w:val="24"/>
                <w:szCs w:val="24"/>
                <w:lang w:val="en-US" w:eastAsia="zh-CN"/>
              </w:rPr>
            </w:pPr>
            <w:r>
              <w:rPr>
                <w:rFonts w:hint="eastAsia" w:ascii="宋体" w:hAnsi="宋体" w:cs="宋体"/>
                <w:sz w:val="24"/>
                <w:szCs w:val="24"/>
              </w:rPr>
              <w:t>南昌市第一医院污水处理运维服务外包项目</w:t>
            </w:r>
          </w:p>
        </w:tc>
      </w:tr>
      <w:tr w14:paraId="047E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3340" w:type="dxa"/>
            <w:vAlign w:val="center"/>
          </w:tcPr>
          <w:p w14:paraId="0C232AD2">
            <w:pPr>
              <w:spacing w:line="440" w:lineRule="exact"/>
              <w:jc w:val="center"/>
              <w:rPr>
                <w:rFonts w:ascii="宋体" w:hAnsi="宋体" w:cs="宋体"/>
                <w:sz w:val="24"/>
                <w:szCs w:val="24"/>
              </w:rPr>
            </w:pPr>
            <w:r>
              <w:rPr>
                <w:rFonts w:hint="eastAsia" w:ascii="宋体" w:hAnsi="宋体" w:cs="宋体"/>
                <w:sz w:val="24"/>
                <w:szCs w:val="24"/>
              </w:rPr>
              <w:t>数量</w:t>
            </w:r>
          </w:p>
        </w:tc>
        <w:tc>
          <w:tcPr>
            <w:tcW w:w="6623" w:type="dxa"/>
            <w:vAlign w:val="center"/>
          </w:tcPr>
          <w:p w14:paraId="665AD16D">
            <w:pPr>
              <w:spacing w:line="440" w:lineRule="exact"/>
              <w:jc w:val="center"/>
              <w:rPr>
                <w:rFonts w:ascii="宋体" w:hAnsi="宋体" w:cs="宋体"/>
                <w:sz w:val="24"/>
                <w:szCs w:val="24"/>
              </w:rPr>
            </w:pPr>
            <w:r>
              <w:rPr>
                <w:rFonts w:hint="eastAsia" w:ascii="宋体" w:hAnsi="宋体" w:cs="宋体"/>
                <w:sz w:val="24"/>
                <w:szCs w:val="24"/>
              </w:rPr>
              <w:t>1项</w:t>
            </w:r>
          </w:p>
        </w:tc>
      </w:tr>
      <w:tr w14:paraId="50B5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5" w:hRule="atLeast"/>
        </w:trPr>
        <w:tc>
          <w:tcPr>
            <w:tcW w:w="3340" w:type="dxa"/>
            <w:vAlign w:val="center"/>
          </w:tcPr>
          <w:p w14:paraId="4C41DCF3">
            <w:pPr>
              <w:spacing w:line="440" w:lineRule="exact"/>
              <w:jc w:val="center"/>
              <w:rPr>
                <w:rFonts w:ascii="宋体" w:hAnsi="宋体" w:cs="宋体"/>
                <w:sz w:val="24"/>
                <w:szCs w:val="24"/>
              </w:rPr>
            </w:pPr>
            <w:r>
              <w:rPr>
                <w:rFonts w:hint="eastAsia" w:ascii="宋体" w:hAnsi="宋体" w:cs="宋体"/>
                <w:sz w:val="24"/>
                <w:szCs w:val="24"/>
              </w:rPr>
              <w:t>服务期限</w:t>
            </w:r>
          </w:p>
        </w:tc>
        <w:tc>
          <w:tcPr>
            <w:tcW w:w="6623" w:type="dxa"/>
            <w:vAlign w:val="center"/>
          </w:tcPr>
          <w:p w14:paraId="6D1744DD">
            <w:pPr>
              <w:spacing w:line="440" w:lineRule="exact"/>
              <w:jc w:val="center"/>
              <w:rPr>
                <w:rFonts w:ascii="宋体" w:hAnsi="宋体" w:cs="宋体"/>
                <w:sz w:val="24"/>
                <w:szCs w:val="24"/>
              </w:rPr>
            </w:pPr>
            <w:r>
              <w:rPr>
                <w:rFonts w:hint="eastAsia" w:ascii="宋体" w:hAnsi="宋体" w:cs="宋体"/>
                <w:sz w:val="24"/>
                <w:szCs w:val="24"/>
              </w:rPr>
              <w:t>合同签订后36个月</w:t>
            </w:r>
          </w:p>
        </w:tc>
      </w:tr>
      <w:tr w14:paraId="47AA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3340" w:type="dxa"/>
            <w:vAlign w:val="center"/>
          </w:tcPr>
          <w:p w14:paraId="7C212E61">
            <w:pPr>
              <w:spacing w:line="440" w:lineRule="exact"/>
              <w:jc w:val="center"/>
              <w:rPr>
                <w:rFonts w:ascii="宋体" w:hAnsi="宋体" w:cs="宋体"/>
                <w:sz w:val="24"/>
                <w:szCs w:val="24"/>
              </w:rPr>
            </w:pPr>
            <w:r>
              <w:rPr>
                <w:rFonts w:hint="eastAsia" w:ascii="宋体" w:hAnsi="宋体" w:cs="宋体"/>
                <w:sz w:val="24"/>
                <w:szCs w:val="24"/>
              </w:rPr>
              <w:t>交付地点</w:t>
            </w:r>
          </w:p>
        </w:tc>
        <w:tc>
          <w:tcPr>
            <w:tcW w:w="6623" w:type="dxa"/>
            <w:vAlign w:val="center"/>
          </w:tcPr>
          <w:p w14:paraId="12238C32">
            <w:pPr>
              <w:spacing w:line="440" w:lineRule="exact"/>
              <w:jc w:val="center"/>
              <w:rPr>
                <w:rFonts w:hint="default" w:ascii="宋体" w:hAnsi="宋体" w:eastAsia="宋体" w:cs="宋体"/>
                <w:sz w:val="24"/>
                <w:szCs w:val="24"/>
                <w:lang w:val="en-US" w:eastAsia="zh-CN"/>
              </w:rPr>
            </w:pPr>
            <w:r>
              <w:rPr>
                <w:rFonts w:hint="eastAsia" w:ascii="宋体" w:hAnsi="宋体" w:cs="宋体"/>
                <w:sz w:val="24"/>
                <w:szCs w:val="24"/>
              </w:rPr>
              <w:t>南昌市第一医院</w:t>
            </w:r>
            <w:r>
              <w:rPr>
                <w:rFonts w:hint="eastAsia" w:ascii="宋体" w:hAnsi="宋体" w:cs="宋体"/>
                <w:sz w:val="24"/>
                <w:szCs w:val="24"/>
                <w:lang w:val="en-US" w:eastAsia="zh-CN"/>
              </w:rPr>
              <w:t>九龙湖院区</w:t>
            </w:r>
          </w:p>
        </w:tc>
      </w:tr>
    </w:tbl>
    <w:p w14:paraId="4B067EA3">
      <w:pPr>
        <w:rPr>
          <w:rFonts w:hint="eastAsia" w:ascii="宋体" w:hAnsi="宋体" w:eastAsia="宋体" w:cs="宋体"/>
          <w:color w:val="auto"/>
          <w:sz w:val="24"/>
          <w:szCs w:val="24"/>
          <w:highlight w:val="none"/>
        </w:rPr>
      </w:pPr>
    </w:p>
    <w:p w14:paraId="1CD1497C">
      <w:pPr>
        <w:pStyle w:val="11"/>
        <w:keepLines w:val="0"/>
        <w:pageBreakBefore w:val="0"/>
        <w:widowControl w:val="0"/>
        <w:numPr>
          <w:ilvl w:val="0"/>
          <w:numId w:val="0"/>
        </w:numPr>
        <w:kinsoku/>
        <w:wordWrap/>
        <w:overflowPunct/>
        <w:topLinePunct w:val="0"/>
        <w:autoSpaceDE/>
        <w:autoSpaceDN/>
        <w:bidi w:val="0"/>
        <w:snapToGrid/>
        <w:spacing w:line="480" w:lineRule="exact"/>
        <w:ind w:leftChars="0"/>
        <w:textAlignment w:val="auto"/>
        <w:rPr>
          <w:rFonts w:hint="eastAsia" w:ascii="宋体" w:hAnsi="宋体" w:eastAsia="宋体" w:cs="宋体"/>
          <w:b/>
          <w:color w:val="auto"/>
          <w:sz w:val="24"/>
          <w:szCs w:val="24"/>
          <w:highlight w:val="none"/>
          <w:lang w:val="en-US" w:eastAsia="zh-CN"/>
        </w:rPr>
      </w:pPr>
      <w:r>
        <w:rPr>
          <w:rFonts w:hint="eastAsia" w:ascii="宋体" w:hAnsi="宋体" w:cs="宋体"/>
          <w:color w:val="auto"/>
          <w:sz w:val="24"/>
          <w:szCs w:val="24"/>
          <w:highlight w:val="none"/>
          <w:lang w:val="en-US" w:eastAsia="zh-CN"/>
        </w:rPr>
        <w:t>一</w:t>
      </w:r>
      <w:r>
        <w:rPr>
          <w:rFonts w:hint="eastAsia" w:ascii="宋体" w:hAnsi="宋体" w:eastAsia="宋体" w:cs="宋体"/>
          <w:b/>
          <w:color w:val="auto"/>
          <w:sz w:val="24"/>
          <w:szCs w:val="24"/>
          <w:highlight w:val="none"/>
          <w:lang w:val="en-US" w:eastAsia="zh-CN"/>
        </w:rPr>
        <w:t>、基础要求</w:t>
      </w:r>
    </w:p>
    <w:p w14:paraId="1973F692">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eastAsia="zh-CN"/>
        </w:rPr>
        <w:t>1、工艺情况</w:t>
      </w:r>
    </w:p>
    <w:p w14:paraId="576DEEDC">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南昌市第一医院九龙湖院区</w:t>
      </w:r>
      <w:r>
        <w:rPr>
          <w:rFonts w:hint="eastAsia" w:ascii="宋体" w:hAnsi="宋体" w:eastAsia="宋体" w:cs="宋体"/>
          <w:color w:val="auto"/>
          <w:sz w:val="24"/>
          <w:szCs w:val="24"/>
          <w:highlight w:val="none"/>
        </w:rPr>
        <w:t>污水处理站设计最大处理规模</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00m³/天。</w:t>
      </w:r>
    </w:p>
    <w:p w14:paraId="467D35FB">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（2）处理工艺：格栅及进水提升+厌氧调节池（非传染病污水）+</w:t>
      </w:r>
      <w:r>
        <w:rPr>
          <w:rFonts w:hint="eastAsia" w:ascii="宋体" w:hAnsi="宋体" w:eastAsia="宋体" w:cs="宋体"/>
          <w:color w:val="auto"/>
          <w:sz w:val="24"/>
          <w:szCs w:val="24"/>
          <w:highlight w:val="none"/>
          <w:lang w:val="en-US" w:eastAsia="zh-CN"/>
        </w:rPr>
        <w:t>好氧池</w:t>
      </w:r>
      <w:r>
        <w:rPr>
          <w:rFonts w:hint="eastAsia" w:ascii="宋体" w:hAnsi="宋体" w:eastAsia="宋体" w:cs="宋体"/>
          <w:color w:val="auto"/>
          <w:sz w:val="24"/>
          <w:szCs w:val="24"/>
          <w:highlight w:val="none"/>
        </w:rPr>
        <w:t>+MBR膜池+</w:t>
      </w:r>
      <w:r>
        <w:rPr>
          <w:rFonts w:hint="eastAsia" w:ascii="宋体" w:hAnsi="宋体" w:eastAsia="宋体" w:cs="宋体"/>
          <w:color w:val="auto"/>
          <w:sz w:val="24"/>
          <w:szCs w:val="24"/>
          <w:highlight w:val="none"/>
          <w:lang w:val="en-US" w:eastAsia="zh-CN"/>
        </w:rPr>
        <w:t>紫外线</w:t>
      </w:r>
      <w:r>
        <w:rPr>
          <w:rFonts w:hint="eastAsia" w:ascii="宋体" w:hAnsi="宋体" w:eastAsia="宋体" w:cs="宋体"/>
          <w:color w:val="auto"/>
          <w:sz w:val="24"/>
          <w:szCs w:val="24"/>
          <w:highlight w:val="none"/>
        </w:rPr>
        <w:t>消毒。</w:t>
      </w:r>
    </w:p>
    <w:p w14:paraId="264C888C">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）工艺流程图：详见附件。</w:t>
      </w:r>
    </w:p>
    <w:p w14:paraId="43A90207">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基本要求</w:t>
      </w:r>
    </w:p>
    <w:p w14:paraId="732D5550">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参与调研单位</w:t>
      </w:r>
      <w:r>
        <w:rPr>
          <w:rFonts w:hint="eastAsia" w:ascii="宋体" w:hAnsi="宋体" w:eastAsia="宋体" w:cs="宋体"/>
          <w:color w:val="auto"/>
          <w:sz w:val="24"/>
          <w:szCs w:val="24"/>
          <w:highlight w:val="none"/>
        </w:rPr>
        <w:t>在满足</w:t>
      </w:r>
      <w:r>
        <w:rPr>
          <w:rFonts w:hint="eastAsia" w:ascii="宋体" w:hAnsi="宋体" w:eastAsia="宋体" w:cs="宋体"/>
          <w:color w:val="auto"/>
          <w:sz w:val="24"/>
          <w:szCs w:val="24"/>
          <w:highlight w:val="none"/>
          <w:lang w:val="en-US" w:eastAsia="zh-CN"/>
        </w:rPr>
        <w:t>调研</w:t>
      </w:r>
      <w:r>
        <w:rPr>
          <w:rFonts w:hint="eastAsia" w:ascii="宋体" w:hAnsi="宋体" w:eastAsia="宋体" w:cs="宋体"/>
          <w:color w:val="auto"/>
          <w:sz w:val="24"/>
          <w:szCs w:val="24"/>
          <w:highlight w:val="none"/>
        </w:rPr>
        <w:t>人基本技术要求的情况下须按清单项目列好报价清单，计算总价；</w:t>
      </w:r>
    </w:p>
    <w:p w14:paraId="3F9BF8A9">
      <w:pPr>
        <w:widowControl/>
        <w:spacing w:line="440" w:lineRule="exact"/>
        <w:jc w:val="left"/>
        <w:rPr>
          <w:rFonts w:ascii="宋体" w:hAnsi="宋体" w:cs="宋体"/>
          <w:b/>
          <w:bCs/>
          <w:kern w:val="0"/>
          <w:sz w:val="24"/>
          <w:szCs w:val="24"/>
        </w:rPr>
      </w:pPr>
      <w:r>
        <w:rPr>
          <w:rFonts w:hint="eastAsia" w:ascii="宋体" w:hAnsi="宋体" w:cs="宋体"/>
          <w:b/>
          <w:bCs/>
          <w:kern w:val="0"/>
          <w:sz w:val="24"/>
          <w:szCs w:val="24"/>
        </w:rPr>
        <w:t>2、主要依据</w:t>
      </w:r>
    </w:p>
    <w:p w14:paraId="42B60598">
      <w:pPr>
        <w:widowControl/>
        <w:spacing w:line="440" w:lineRule="exact"/>
        <w:jc w:val="left"/>
        <w:rPr>
          <w:rFonts w:ascii="宋体" w:hAnsi="宋体" w:cs="宋体"/>
          <w:kern w:val="0"/>
          <w:sz w:val="24"/>
          <w:szCs w:val="24"/>
        </w:rPr>
      </w:pPr>
      <w:r>
        <w:rPr>
          <w:rFonts w:hint="eastAsia" w:ascii="宋体" w:hAnsi="宋体" w:cs="宋体"/>
          <w:kern w:val="0"/>
          <w:sz w:val="24"/>
          <w:szCs w:val="24"/>
        </w:rPr>
        <w:t>2.1《中华人民共和国环境保护法》；</w:t>
      </w:r>
    </w:p>
    <w:p w14:paraId="3EFE7936">
      <w:pPr>
        <w:widowControl/>
        <w:spacing w:line="440" w:lineRule="exact"/>
        <w:jc w:val="left"/>
        <w:rPr>
          <w:rFonts w:ascii="宋体" w:hAnsi="宋体" w:cs="宋体"/>
          <w:kern w:val="0"/>
          <w:sz w:val="24"/>
          <w:szCs w:val="24"/>
        </w:rPr>
      </w:pPr>
      <w:r>
        <w:rPr>
          <w:rFonts w:hint="eastAsia" w:ascii="宋体" w:hAnsi="宋体" w:cs="宋体"/>
          <w:kern w:val="0"/>
          <w:sz w:val="24"/>
          <w:szCs w:val="24"/>
        </w:rPr>
        <w:t>2.2《中华人民共和国水污染防治法》；</w:t>
      </w:r>
    </w:p>
    <w:p w14:paraId="7185D10C">
      <w:pPr>
        <w:widowControl/>
        <w:spacing w:line="440" w:lineRule="exact"/>
        <w:jc w:val="left"/>
        <w:rPr>
          <w:rFonts w:ascii="宋体" w:hAnsi="宋体" w:cs="宋体"/>
          <w:kern w:val="0"/>
          <w:sz w:val="24"/>
          <w:szCs w:val="24"/>
        </w:rPr>
      </w:pPr>
      <w:r>
        <w:rPr>
          <w:rFonts w:hint="eastAsia" w:ascii="宋体" w:hAnsi="宋体" w:cs="宋体"/>
          <w:kern w:val="0"/>
          <w:sz w:val="24"/>
          <w:szCs w:val="24"/>
        </w:rPr>
        <w:t>2.3国家《医疗机构水污染物排放标准》（GB18466-2005）；</w:t>
      </w:r>
    </w:p>
    <w:p w14:paraId="7356B9A7">
      <w:pPr>
        <w:widowControl/>
        <w:spacing w:line="440" w:lineRule="exact"/>
        <w:jc w:val="left"/>
        <w:rPr>
          <w:rFonts w:ascii="宋体" w:hAnsi="宋体" w:cs="宋体"/>
          <w:kern w:val="0"/>
          <w:sz w:val="24"/>
          <w:szCs w:val="24"/>
        </w:rPr>
      </w:pPr>
      <w:r>
        <w:rPr>
          <w:rFonts w:hint="eastAsia" w:ascii="宋体" w:hAnsi="宋体" w:cs="宋体"/>
          <w:kern w:val="0"/>
          <w:sz w:val="24"/>
          <w:szCs w:val="24"/>
        </w:rPr>
        <w:t>2.4《医院污水处理设计规范》（CECS07-2004）；</w:t>
      </w:r>
    </w:p>
    <w:p w14:paraId="48712723">
      <w:pPr>
        <w:widowControl/>
        <w:spacing w:line="440" w:lineRule="exact"/>
        <w:jc w:val="left"/>
        <w:rPr>
          <w:rFonts w:ascii="宋体" w:hAnsi="宋体" w:cs="宋体"/>
          <w:kern w:val="0"/>
          <w:sz w:val="24"/>
          <w:szCs w:val="24"/>
        </w:rPr>
      </w:pPr>
      <w:r>
        <w:rPr>
          <w:rFonts w:hint="eastAsia" w:ascii="宋体" w:hAnsi="宋体" w:cs="宋体"/>
          <w:kern w:val="0"/>
          <w:sz w:val="24"/>
          <w:szCs w:val="24"/>
        </w:rPr>
        <w:t>2.5《室外排水设计规范》（GBJ14-87）（1997版）；</w:t>
      </w:r>
    </w:p>
    <w:p w14:paraId="607EC072">
      <w:pPr>
        <w:widowControl/>
        <w:spacing w:line="440" w:lineRule="exact"/>
        <w:jc w:val="left"/>
        <w:rPr>
          <w:rFonts w:ascii="宋体" w:hAnsi="宋体" w:cs="宋体"/>
          <w:kern w:val="0"/>
          <w:sz w:val="24"/>
          <w:szCs w:val="24"/>
        </w:rPr>
      </w:pPr>
      <w:r>
        <w:rPr>
          <w:rFonts w:hint="eastAsia" w:ascii="宋体" w:hAnsi="宋体" w:cs="宋体"/>
          <w:kern w:val="0"/>
          <w:sz w:val="24"/>
          <w:szCs w:val="24"/>
        </w:rPr>
        <w:t>2.6采购人提供的平面规划图；</w:t>
      </w:r>
    </w:p>
    <w:p w14:paraId="5CBCB679">
      <w:pPr>
        <w:widowControl/>
        <w:spacing w:line="440" w:lineRule="exact"/>
        <w:jc w:val="left"/>
        <w:rPr>
          <w:rFonts w:ascii="宋体" w:hAnsi="宋体" w:cs="宋体"/>
          <w:kern w:val="0"/>
          <w:sz w:val="24"/>
          <w:szCs w:val="24"/>
        </w:rPr>
      </w:pPr>
      <w:r>
        <w:rPr>
          <w:rFonts w:hint="eastAsia" w:ascii="宋体" w:hAnsi="宋体" w:cs="宋体"/>
          <w:kern w:val="0"/>
          <w:sz w:val="24"/>
          <w:szCs w:val="24"/>
        </w:rPr>
        <w:t>2.7采购人提供的有关废水的水质、水量资料；</w:t>
      </w:r>
    </w:p>
    <w:p w14:paraId="6C60A9CB">
      <w:pPr>
        <w:widowControl/>
        <w:spacing w:line="440" w:lineRule="exact"/>
        <w:jc w:val="left"/>
        <w:rPr>
          <w:rFonts w:ascii="宋体" w:hAnsi="宋体" w:cs="宋体"/>
          <w:kern w:val="0"/>
          <w:sz w:val="24"/>
          <w:szCs w:val="24"/>
        </w:rPr>
      </w:pPr>
      <w:r>
        <w:rPr>
          <w:rFonts w:hint="eastAsia" w:ascii="宋体" w:hAnsi="宋体" w:cs="宋体"/>
          <w:kern w:val="0"/>
          <w:sz w:val="24"/>
          <w:szCs w:val="24"/>
        </w:rPr>
        <w:t>2.8供应商勘察现场或调查的有关内容；</w:t>
      </w:r>
    </w:p>
    <w:p w14:paraId="1B5BAEC4">
      <w:pPr>
        <w:widowControl/>
        <w:spacing w:line="440" w:lineRule="exact"/>
        <w:jc w:val="left"/>
        <w:rPr>
          <w:rFonts w:ascii="宋体" w:hAnsi="宋体" w:cs="宋体"/>
          <w:kern w:val="0"/>
          <w:sz w:val="24"/>
          <w:szCs w:val="24"/>
        </w:rPr>
      </w:pPr>
      <w:r>
        <w:rPr>
          <w:rFonts w:hint="eastAsia" w:ascii="宋体" w:hAnsi="宋体" w:cs="宋体"/>
          <w:kern w:val="0"/>
          <w:sz w:val="24"/>
          <w:szCs w:val="24"/>
        </w:rPr>
        <w:t>2.9《电气设计规范》；</w:t>
      </w:r>
    </w:p>
    <w:p w14:paraId="24D49834">
      <w:pPr>
        <w:widowControl/>
        <w:spacing w:line="440" w:lineRule="exact"/>
        <w:jc w:val="left"/>
        <w:rPr>
          <w:rFonts w:ascii="宋体" w:hAnsi="宋体" w:cs="宋体"/>
          <w:kern w:val="0"/>
          <w:sz w:val="24"/>
          <w:szCs w:val="24"/>
        </w:rPr>
      </w:pPr>
      <w:r>
        <w:rPr>
          <w:rFonts w:hint="eastAsia" w:ascii="宋体" w:hAnsi="宋体" w:cs="宋体"/>
          <w:kern w:val="0"/>
          <w:sz w:val="24"/>
          <w:szCs w:val="24"/>
        </w:rPr>
        <w:t>2.10《机械设备安装工程施工及验收规范》；</w:t>
      </w:r>
    </w:p>
    <w:p w14:paraId="5D2D180E">
      <w:pPr>
        <w:widowControl/>
        <w:spacing w:line="440" w:lineRule="exact"/>
        <w:jc w:val="left"/>
        <w:rPr>
          <w:rFonts w:ascii="宋体" w:hAnsi="宋体" w:cs="宋体"/>
          <w:kern w:val="0"/>
          <w:sz w:val="24"/>
          <w:szCs w:val="24"/>
        </w:rPr>
      </w:pPr>
      <w:r>
        <w:rPr>
          <w:rFonts w:hint="eastAsia" w:ascii="宋体" w:hAnsi="宋体" w:cs="宋体"/>
          <w:kern w:val="0"/>
          <w:sz w:val="24"/>
          <w:szCs w:val="24"/>
        </w:rPr>
        <w:t>2.11《给排水构筑物施及验收规范工》；</w:t>
      </w:r>
    </w:p>
    <w:p w14:paraId="350109FF">
      <w:pPr>
        <w:widowControl/>
        <w:spacing w:line="440" w:lineRule="exact"/>
        <w:jc w:val="left"/>
        <w:rPr>
          <w:rFonts w:ascii="宋体" w:hAnsi="宋体" w:cs="宋体"/>
          <w:kern w:val="0"/>
          <w:sz w:val="24"/>
          <w:szCs w:val="24"/>
        </w:rPr>
      </w:pPr>
      <w:r>
        <w:rPr>
          <w:rFonts w:hint="eastAsia" w:ascii="宋体" w:hAnsi="宋体" w:cs="宋体"/>
          <w:kern w:val="0"/>
          <w:sz w:val="24"/>
          <w:szCs w:val="24"/>
        </w:rPr>
        <w:t>2.12《建筑给排水设计规范》；</w:t>
      </w:r>
    </w:p>
    <w:p w14:paraId="7F74854B">
      <w:pPr>
        <w:widowControl/>
        <w:spacing w:line="440" w:lineRule="exact"/>
        <w:jc w:val="left"/>
        <w:rPr>
          <w:rFonts w:ascii="宋体" w:hAnsi="宋体" w:cs="宋体"/>
          <w:kern w:val="0"/>
          <w:sz w:val="24"/>
          <w:szCs w:val="24"/>
        </w:rPr>
      </w:pPr>
      <w:r>
        <w:rPr>
          <w:rFonts w:hint="eastAsia" w:ascii="宋体" w:hAnsi="宋体" w:cs="宋体"/>
          <w:kern w:val="0"/>
          <w:sz w:val="24"/>
          <w:szCs w:val="24"/>
        </w:rPr>
        <w:t>2.13《城市区域环境噪声标准》（GB3096-93）；</w:t>
      </w:r>
    </w:p>
    <w:p w14:paraId="6FE54B60">
      <w:pPr>
        <w:widowControl/>
        <w:spacing w:line="440" w:lineRule="exact"/>
        <w:jc w:val="left"/>
        <w:rPr>
          <w:rFonts w:ascii="宋体" w:hAnsi="宋体" w:cs="宋体"/>
          <w:kern w:val="0"/>
          <w:sz w:val="24"/>
          <w:szCs w:val="24"/>
        </w:rPr>
      </w:pPr>
      <w:r>
        <w:rPr>
          <w:rFonts w:hint="eastAsia" w:ascii="宋体" w:hAnsi="宋体" w:cs="宋体"/>
          <w:kern w:val="0"/>
          <w:sz w:val="24"/>
          <w:szCs w:val="24"/>
        </w:rPr>
        <w:t>2.14《混凝土结构设计规范》（GB350010-2002）；</w:t>
      </w:r>
    </w:p>
    <w:p w14:paraId="2975BC38">
      <w:pPr>
        <w:widowControl/>
        <w:spacing w:line="440" w:lineRule="exact"/>
        <w:jc w:val="left"/>
        <w:rPr>
          <w:rFonts w:hint="eastAsia" w:ascii="宋体" w:hAnsi="宋体" w:cs="宋体"/>
          <w:kern w:val="0"/>
          <w:sz w:val="24"/>
          <w:szCs w:val="24"/>
        </w:rPr>
      </w:pPr>
      <w:r>
        <w:rPr>
          <w:rFonts w:hint="eastAsia" w:ascii="宋体" w:hAnsi="宋体" w:cs="宋体"/>
          <w:kern w:val="0"/>
          <w:sz w:val="24"/>
          <w:szCs w:val="24"/>
        </w:rPr>
        <w:t>2.15供应商在同类污水处理方面的设计经验和工程实践。</w:t>
      </w:r>
    </w:p>
    <w:p w14:paraId="018B0EE3">
      <w:pPr>
        <w:widowControl/>
        <w:spacing w:line="440" w:lineRule="exact"/>
        <w:jc w:val="left"/>
        <w:rPr>
          <w:rFonts w:ascii="宋体" w:hAnsi="宋体" w:cs="宋体"/>
          <w:b/>
          <w:bCs/>
          <w:kern w:val="0"/>
          <w:sz w:val="24"/>
          <w:szCs w:val="24"/>
        </w:rPr>
      </w:pPr>
      <w:r>
        <w:rPr>
          <w:rFonts w:hint="eastAsia" w:ascii="宋体" w:hAnsi="宋体" w:cs="宋体"/>
          <w:b/>
          <w:bCs/>
          <w:kern w:val="0"/>
          <w:sz w:val="24"/>
          <w:szCs w:val="24"/>
        </w:rPr>
        <w:t>3、服务范围及成交供应商责任</w:t>
      </w:r>
    </w:p>
    <w:p w14:paraId="0EAB491B">
      <w:pPr>
        <w:widowControl/>
        <w:spacing w:line="440" w:lineRule="exact"/>
        <w:jc w:val="left"/>
        <w:rPr>
          <w:rFonts w:ascii="宋体" w:hAnsi="宋体" w:cs="宋体"/>
          <w:b/>
          <w:bCs/>
          <w:kern w:val="0"/>
          <w:sz w:val="24"/>
          <w:szCs w:val="24"/>
        </w:rPr>
      </w:pPr>
      <w:r>
        <w:rPr>
          <w:rFonts w:hint="eastAsia" w:ascii="宋体" w:hAnsi="宋体" w:cs="宋体"/>
          <w:sz w:val="24"/>
          <w:szCs w:val="24"/>
        </w:rPr>
        <w:t>3.1受托单位委派持上岗证操作工进行日常管理；</w:t>
      </w:r>
    </w:p>
    <w:p w14:paraId="6E85F4B1">
      <w:pPr>
        <w:spacing w:line="440" w:lineRule="exact"/>
        <w:rPr>
          <w:rFonts w:ascii="宋体" w:hAnsi="宋体" w:cs="宋体"/>
          <w:sz w:val="24"/>
          <w:szCs w:val="24"/>
        </w:rPr>
      </w:pPr>
      <w:r>
        <w:rPr>
          <w:rFonts w:hint="eastAsia" w:ascii="宋体" w:hAnsi="宋体" w:cs="宋体"/>
          <w:sz w:val="24"/>
          <w:szCs w:val="24"/>
        </w:rPr>
        <w:t>3.2受托单位承担污水站全部消毒药品投加、药品保管；</w:t>
      </w:r>
    </w:p>
    <w:p w14:paraId="6B8421E6">
      <w:pPr>
        <w:spacing w:line="440" w:lineRule="exact"/>
        <w:rPr>
          <w:rFonts w:ascii="宋体" w:hAnsi="宋体" w:cs="宋体"/>
          <w:sz w:val="24"/>
          <w:szCs w:val="24"/>
        </w:rPr>
      </w:pPr>
      <w:r>
        <w:rPr>
          <w:rFonts w:hint="eastAsia" w:ascii="宋体" w:hAnsi="宋体" w:cs="宋体"/>
          <w:sz w:val="24"/>
          <w:szCs w:val="24"/>
        </w:rPr>
        <w:t>3.3受托单位承担污水站全部设备、设施的日常保养；</w:t>
      </w:r>
    </w:p>
    <w:p w14:paraId="50F3116D">
      <w:pPr>
        <w:spacing w:line="440" w:lineRule="exact"/>
        <w:rPr>
          <w:rFonts w:ascii="宋体" w:hAnsi="宋体" w:cs="宋体"/>
          <w:sz w:val="24"/>
          <w:szCs w:val="24"/>
        </w:rPr>
      </w:pPr>
      <w:r>
        <w:rPr>
          <w:rFonts w:hint="eastAsia" w:ascii="宋体" w:hAnsi="宋体" w:cs="宋体"/>
          <w:sz w:val="24"/>
          <w:szCs w:val="24"/>
        </w:rPr>
        <w:t>3.4受托单位承担污水站全部日常监测，并做好记录；</w:t>
      </w:r>
    </w:p>
    <w:p w14:paraId="4F13D292">
      <w:pPr>
        <w:widowControl/>
        <w:spacing w:line="440" w:lineRule="exact"/>
        <w:jc w:val="left"/>
        <w:rPr>
          <w:rFonts w:ascii="宋体" w:hAnsi="宋体" w:cs="宋体"/>
          <w:sz w:val="24"/>
          <w:szCs w:val="24"/>
        </w:rPr>
      </w:pPr>
      <w:r>
        <w:rPr>
          <w:rFonts w:hint="eastAsia" w:ascii="宋体" w:hAnsi="宋体" w:cs="宋体"/>
          <w:sz w:val="24"/>
          <w:szCs w:val="24"/>
        </w:rPr>
        <w:t>3.5全面达到污水排放标准，如有超标，受托单位承担全部处罚责任；</w:t>
      </w:r>
    </w:p>
    <w:p w14:paraId="5AD00730">
      <w:pPr>
        <w:widowControl/>
        <w:spacing w:line="440" w:lineRule="exact"/>
        <w:jc w:val="left"/>
        <w:rPr>
          <w:rFonts w:ascii="宋体" w:hAnsi="宋体" w:cs="宋体"/>
          <w:sz w:val="24"/>
          <w:szCs w:val="24"/>
        </w:rPr>
      </w:pPr>
      <w:r>
        <w:rPr>
          <w:rFonts w:hint="eastAsia" w:ascii="宋体" w:hAnsi="宋体" w:cs="宋体"/>
          <w:sz w:val="24"/>
          <w:szCs w:val="24"/>
        </w:rPr>
        <w:t>3.6 受托单位每月向第三方检测机构送检</w:t>
      </w:r>
      <w:r>
        <w:rPr>
          <w:rFonts w:hint="eastAsia" w:ascii="宋体" w:hAnsi="宋体" w:cs="宋体"/>
          <w:sz w:val="24"/>
          <w:szCs w:val="24"/>
          <w:lang w:val="en-US" w:eastAsia="zh-CN"/>
        </w:rPr>
        <w:t>四</w:t>
      </w:r>
      <w:r>
        <w:rPr>
          <w:rFonts w:hint="eastAsia" w:ascii="宋体" w:hAnsi="宋体" w:cs="宋体"/>
          <w:sz w:val="24"/>
          <w:szCs w:val="24"/>
        </w:rPr>
        <w:t>个污水站水样并分别取得报告；</w:t>
      </w:r>
    </w:p>
    <w:p w14:paraId="47EB7085">
      <w:pPr>
        <w:widowControl/>
        <w:spacing w:line="440" w:lineRule="exact"/>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3.7 受托单位负责污水站流量数据的在线运维及平台管理；</w:t>
      </w:r>
    </w:p>
    <w:p w14:paraId="5F493DF3">
      <w:pPr>
        <w:widowControl/>
        <w:spacing w:line="440" w:lineRule="exact"/>
        <w:jc w:val="left"/>
        <w:rPr>
          <w:rFonts w:hint="default" w:eastAsia="宋体"/>
          <w:lang w:val="en-US" w:eastAsia="zh-CN"/>
        </w:rPr>
      </w:pPr>
      <w:r>
        <w:rPr>
          <w:rFonts w:hint="eastAsia" w:ascii="宋体" w:hAnsi="宋体" w:cs="宋体"/>
          <w:color w:val="000000" w:themeColor="text1"/>
          <w:sz w:val="24"/>
          <w:szCs w:val="24"/>
          <w14:textFill>
            <w14:solidFill>
              <w14:schemeClr w14:val="tx1"/>
            </w14:solidFill>
          </w14:textFill>
        </w:rPr>
        <w:t>3.8受托单位每年至少进行一次污水站污泥池的污泥清掏、压滤、烘干、装袋、入危废仓库，装袋污泥的含水率≤70%；</w:t>
      </w:r>
      <w:r>
        <w:rPr>
          <w:rFonts w:hint="eastAsia" w:ascii="宋体" w:hAnsi="宋体" w:cs="宋体"/>
          <w:color w:val="000000" w:themeColor="text1"/>
          <w:sz w:val="24"/>
          <w:szCs w:val="24"/>
          <w:lang w:val="en-US" w:eastAsia="zh-CN"/>
          <w14:textFill>
            <w14:solidFill>
              <w14:schemeClr w14:val="tx1"/>
            </w14:solidFill>
          </w14:textFill>
        </w:rPr>
        <w:t>每周负责清理各院区所有排污口垃圾（含抽水泵口）；</w:t>
      </w:r>
    </w:p>
    <w:p w14:paraId="4069B8C9">
      <w:pPr>
        <w:widowControl/>
        <w:spacing w:line="440" w:lineRule="exact"/>
        <w:jc w:val="left"/>
        <w:rPr>
          <w:rFonts w:ascii="宋体" w:hAnsi="宋体" w:cs="宋体"/>
          <w:sz w:val="24"/>
          <w:szCs w:val="24"/>
        </w:rPr>
      </w:pPr>
      <w:r>
        <w:rPr>
          <w:rFonts w:hint="eastAsia" w:ascii="宋体" w:hAnsi="宋体" w:cs="宋体"/>
          <w:sz w:val="24"/>
          <w:szCs w:val="24"/>
        </w:rPr>
        <w:t>3.9受托单位履行完合同时，各污水处理设备必须完好地交给委托方。</w:t>
      </w:r>
    </w:p>
    <w:p w14:paraId="60BB38FD">
      <w:pPr>
        <w:widowControl/>
        <w:spacing w:line="440" w:lineRule="exact"/>
        <w:ind w:left="-368" w:leftChars="-175" w:firstLine="361" w:firstLineChars="150"/>
        <w:jc w:val="left"/>
        <w:rPr>
          <w:rFonts w:ascii="宋体" w:hAnsi="宋体" w:cs="宋体"/>
          <w:b/>
          <w:bCs/>
          <w:kern w:val="0"/>
          <w:sz w:val="24"/>
          <w:szCs w:val="24"/>
        </w:rPr>
      </w:pPr>
      <w:r>
        <w:rPr>
          <w:rFonts w:hint="eastAsia" w:ascii="宋体" w:hAnsi="宋体" w:cs="宋体"/>
          <w:b/>
          <w:bCs/>
          <w:kern w:val="0"/>
          <w:sz w:val="24"/>
          <w:szCs w:val="24"/>
        </w:rPr>
        <w:t>4、主要规范与标准</w:t>
      </w:r>
    </w:p>
    <w:p w14:paraId="2BEFFB84">
      <w:pPr>
        <w:widowControl/>
        <w:spacing w:line="440" w:lineRule="exact"/>
        <w:jc w:val="left"/>
        <w:rPr>
          <w:rFonts w:ascii="宋体" w:hAnsi="宋体" w:cs="宋体"/>
          <w:kern w:val="0"/>
          <w:sz w:val="24"/>
          <w:szCs w:val="24"/>
        </w:rPr>
      </w:pPr>
      <w:r>
        <w:rPr>
          <w:rFonts w:hint="eastAsia" w:ascii="宋体" w:hAnsi="宋体" w:cs="宋体"/>
          <w:kern w:val="0"/>
          <w:sz w:val="24"/>
          <w:szCs w:val="24"/>
        </w:rPr>
        <w:t>4.1《室外排水设计规范》（GBJ14-87）；</w:t>
      </w:r>
    </w:p>
    <w:p w14:paraId="030A32D9">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4.2《室外给水设计规范》（GBJ13-86）；</w:t>
      </w:r>
    </w:p>
    <w:p w14:paraId="722BC73C">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4.3《城市污水处理厂污水污泥排放标准》（GJ2530-93）；</w:t>
      </w:r>
    </w:p>
    <w:p w14:paraId="648281F9">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4.4《城镇污水处理厂附属建筑和附属设备标准》（GJJ31-89）；</w:t>
      </w:r>
    </w:p>
    <w:p w14:paraId="37368932">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4.5《地表水环境质量标准》（GBZB1-1999）；</w:t>
      </w:r>
    </w:p>
    <w:p w14:paraId="0ABD0F5F">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4.6《恶臭污染物排放标准》（GB14554-93）；</w:t>
      </w:r>
    </w:p>
    <w:p w14:paraId="726FDBCD">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4.7《建筑给水排水设计规范》（GBJ15-88）；</w:t>
      </w:r>
    </w:p>
    <w:p w14:paraId="2E69F06F">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4.8《工业建筑防腐设计规范》（GBJ46-82）；</w:t>
      </w:r>
    </w:p>
    <w:p w14:paraId="7E0EAEEA">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4.9《建筑结构荷载规范》（GBJ9-87）；</w:t>
      </w:r>
    </w:p>
    <w:p w14:paraId="39C0013A">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4.10《给水排水工程结构设计规范》（GBJ69-84）；</w:t>
      </w:r>
    </w:p>
    <w:p w14:paraId="4DB99A9B">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4.11《混凝土结构设计规范》（GBJ17-88）；</w:t>
      </w:r>
    </w:p>
    <w:p w14:paraId="79867CD8">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4.12《工业企业厂界噪声标准》（GB12348-90）；</w:t>
      </w:r>
    </w:p>
    <w:p w14:paraId="540B9F33">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4.13《建筑地基基础设计规范》（GBJ7-89）；</w:t>
      </w:r>
    </w:p>
    <w:p w14:paraId="1E3075C6">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4.14《建筑抗震设计规范》（GBJ11-89）；</w:t>
      </w:r>
    </w:p>
    <w:p w14:paraId="44573389">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4.15《水工混凝土结构设计规范》（SDJ20-78）；</w:t>
      </w:r>
    </w:p>
    <w:p w14:paraId="617F1640">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4.16《建筑结构设计统一标准》（GBJ68-84）；</w:t>
      </w:r>
    </w:p>
    <w:p w14:paraId="3B68CA31">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4.17《工业企业设计卫生标准》（TJ36-79）；</w:t>
      </w:r>
    </w:p>
    <w:p w14:paraId="3E56C83E">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4.18《采暖通风和空气调节设计规范》（GBJ19-87）；</w:t>
      </w:r>
    </w:p>
    <w:p w14:paraId="3F919516">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4.19《建筑设计防火规范》（GBJ16-87）；</w:t>
      </w:r>
    </w:p>
    <w:p w14:paraId="61728A01">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4.20《地下工程防水技术规范》（GBJ108-87）；</w:t>
      </w:r>
    </w:p>
    <w:p w14:paraId="2B003B3B">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4.21《供配电系统设计规范》（GB50052-95）；</w:t>
      </w:r>
    </w:p>
    <w:p w14:paraId="37196C90">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4.22《低压配电装置及线路设计规范》（GB50062-92）；</w:t>
      </w:r>
    </w:p>
    <w:p w14:paraId="7429E173">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4.23《建筑防雷设计规范》（GB50057-94）；</w:t>
      </w:r>
    </w:p>
    <w:p w14:paraId="67441E70">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4.24《工业与民用电力装置的接地设计规范》（GBJ65-83）；</w:t>
      </w:r>
    </w:p>
    <w:p w14:paraId="28E92FFA">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4.25《工程设计技术暂行规定》（GBJ6-85）；</w:t>
      </w:r>
    </w:p>
    <w:p w14:paraId="2B25B140">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4.26《工业企业噪音控制设计规范》（GBJ87-85）；</w:t>
      </w:r>
    </w:p>
    <w:p w14:paraId="33D499BB">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4.27《建筑灭火器配置设计规范》（GBJ140-90）；</w:t>
      </w:r>
    </w:p>
    <w:p w14:paraId="7F09AA5F">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4.28《动力机器基础设计规范》（GBJ40-79）；</w:t>
      </w:r>
    </w:p>
    <w:p w14:paraId="049B3825">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4.29《钢筋混凝土结构设计规范》（TJ1-84）；</w:t>
      </w:r>
    </w:p>
    <w:p w14:paraId="71AF41A3">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4.30《建筑电气设计技术规范》（GBJ16-83）；</w:t>
      </w:r>
    </w:p>
    <w:p w14:paraId="6A15C6F4">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4.31《电力装置的继电保护和自动接地设计规范》（GB50062-92）；</w:t>
      </w:r>
    </w:p>
    <w:p w14:paraId="5C9B5E92">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4.32《通用用电设备配电设计规范》（GB50055-93）；</w:t>
      </w:r>
    </w:p>
    <w:p w14:paraId="420E5BE5">
      <w:pPr>
        <w:widowControl/>
        <w:spacing w:line="440" w:lineRule="exact"/>
        <w:ind w:left="-368" w:leftChars="-175" w:firstLine="360" w:firstLineChars="150"/>
        <w:jc w:val="left"/>
        <w:rPr>
          <w:rFonts w:ascii="宋体" w:hAnsi="宋体" w:cs="宋体"/>
          <w:b/>
          <w:bCs/>
          <w:kern w:val="0"/>
          <w:sz w:val="24"/>
          <w:szCs w:val="24"/>
        </w:rPr>
      </w:pPr>
      <w:r>
        <w:rPr>
          <w:rFonts w:hint="eastAsia" w:ascii="宋体" w:hAnsi="宋体" w:cs="宋体"/>
          <w:kern w:val="0"/>
          <w:sz w:val="24"/>
          <w:szCs w:val="24"/>
        </w:rPr>
        <w:t>4.33《10KV以下变电所设计规范》（GB50053-94）。</w:t>
      </w:r>
    </w:p>
    <w:p w14:paraId="1560D894">
      <w:pPr>
        <w:widowControl/>
        <w:spacing w:line="440" w:lineRule="exact"/>
        <w:ind w:left="-368" w:leftChars="-175" w:firstLine="360" w:firstLineChars="150"/>
        <w:jc w:val="left"/>
        <w:rPr>
          <w:rFonts w:ascii="宋体" w:hAnsi="宋体" w:cs="宋体"/>
          <w:kern w:val="0"/>
          <w:sz w:val="24"/>
          <w:szCs w:val="24"/>
        </w:rPr>
      </w:pPr>
      <w:r>
        <w:rPr>
          <w:rFonts w:hint="eastAsia" w:ascii="宋体" w:hAnsi="宋体" w:cs="宋体"/>
          <w:kern w:val="0"/>
          <w:sz w:val="24"/>
          <w:szCs w:val="24"/>
        </w:rPr>
        <w:t>注：本项目应执行以上标准规范但并不仅限于此。</w:t>
      </w:r>
    </w:p>
    <w:p w14:paraId="724E6FFD">
      <w:pPr>
        <w:pStyle w:val="4"/>
        <w:spacing w:line="440" w:lineRule="exact"/>
        <w:rPr>
          <w:rFonts w:ascii="宋体" w:hAnsi="宋体" w:cs="宋体"/>
          <w:sz w:val="24"/>
          <w:szCs w:val="24"/>
        </w:rPr>
      </w:pPr>
      <w:r>
        <w:rPr>
          <w:rFonts w:hint="eastAsia" w:ascii="宋体" w:hAnsi="宋体" w:cs="宋体"/>
          <w:sz w:val="24"/>
          <w:szCs w:val="24"/>
        </w:rPr>
        <w:t>出水要求：</w:t>
      </w:r>
    </w:p>
    <w:tbl>
      <w:tblPr>
        <w:tblStyle w:val="8"/>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507"/>
        <w:gridCol w:w="1962"/>
        <w:gridCol w:w="1629"/>
        <w:gridCol w:w="1683"/>
        <w:gridCol w:w="953"/>
      </w:tblGrid>
      <w:tr w14:paraId="77D3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3E82E87F">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监测项目</w:t>
            </w:r>
          </w:p>
        </w:tc>
        <w:tc>
          <w:tcPr>
            <w:tcW w:w="1507" w:type="dxa"/>
            <w:vAlign w:val="center"/>
          </w:tcPr>
          <w:p w14:paraId="1405498D">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CODcr</w:t>
            </w:r>
          </w:p>
        </w:tc>
        <w:tc>
          <w:tcPr>
            <w:tcW w:w="1962" w:type="dxa"/>
            <w:vAlign w:val="center"/>
          </w:tcPr>
          <w:p w14:paraId="478DB9F3">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BOD</w:t>
            </w:r>
            <w:r>
              <w:rPr>
                <w:rFonts w:hint="eastAsia" w:ascii="宋体" w:hAnsi="宋体" w:eastAsia="宋体" w:cs="宋体"/>
                <w:sz w:val="24"/>
                <w:szCs w:val="24"/>
                <w:vertAlign w:val="subscript"/>
              </w:rPr>
              <w:t>5</w:t>
            </w:r>
          </w:p>
        </w:tc>
        <w:tc>
          <w:tcPr>
            <w:tcW w:w="1629" w:type="dxa"/>
            <w:vAlign w:val="center"/>
          </w:tcPr>
          <w:p w14:paraId="0BF43667">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SS</w:t>
            </w:r>
          </w:p>
        </w:tc>
        <w:tc>
          <w:tcPr>
            <w:tcW w:w="1683" w:type="dxa"/>
            <w:vAlign w:val="center"/>
          </w:tcPr>
          <w:p w14:paraId="003C94C9">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粪大肠菌群数</w:t>
            </w:r>
          </w:p>
        </w:tc>
        <w:tc>
          <w:tcPr>
            <w:tcW w:w="953" w:type="dxa"/>
            <w:vAlign w:val="center"/>
          </w:tcPr>
          <w:p w14:paraId="00EB5629">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PH</w:t>
            </w:r>
          </w:p>
        </w:tc>
      </w:tr>
      <w:tr w14:paraId="2A5C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14:paraId="19ACC863">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数据</w:t>
            </w:r>
          </w:p>
        </w:tc>
        <w:tc>
          <w:tcPr>
            <w:tcW w:w="1507" w:type="dxa"/>
            <w:vAlign w:val="center"/>
          </w:tcPr>
          <w:p w14:paraId="4DBE118D">
            <w:pPr>
              <w:pStyle w:val="12"/>
              <w:spacing w:line="440" w:lineRule="exact"/>
              <w:ind w:left="0" w:right="1" w:firstLine="0" w:firstLineChars="0"/>
              <w:jc w:val="center"/>
              <w:rPr>
                <w:rFonts w:hint="eastAsia" w:ascii="宋体" w:hAnsi="宋体" w:eastAsia="宋体" w:cs="宋体"/>
                <w:sz w:val="24"/>
                <w:szCs w:val="24"/>
                <w:lang w:val="en-US" w:eastAsia="zh-CN"/>
              </w:rPr>
            </w:pPr>
            <w:r>
              <w:rPr>
                <w:rFonts w:hint="eastAsia" w:ascii="宋体" w:hAnsi="宋体" w:eastAsia="宋体" w:cs="宋体"/>
                <w:kern w:val="0"/>
                <w:sz w:val="24"/>
                <w:szCs w:val="24"/>
              </w:rPr>
              <w:t>≤25</w:t>
            </w:r>
            <w:r>
              <w:rPr>
                <w:rFonts w:hint="eastAsia" w:ascii="宋体" w:hAnsi="宋体" w:eastAsia="宋体" w:cs="宋体"/>
                <w:sz w:val="24"/>
                <w:szCs w:val="24"/>
              </w:rPr>
              <w:t>0mg/</w:t>
            </w:r>
            <w:r>
              <w:rPr>
                <w:rFonts w:hint="eastAsia" w:ascii="宋体" w:hAnsi="宋体" w:eastAsia="宋体" w:cs="宋体"/>
                <w:sz w:val="24"/>
                <w:szCs w:val="24"/>
                <w:lang w:val="en-US" w:eastAsia="zh-CN"/>
              </w:rPr>
              <w:t>L</w:t>
            </w:r>
          </w:p>
        </w:tc>
        <w:tc>
          <w:tcPr>
            <w:tcW w:w="1962" w:type="dxa"/>
            <w:vAlign w:val="center"/>
          </w:tcPr>
          <w:p w14:paraId="4CBD828C">
            <w:pPr>
              <w:pStyle w:val="12"/>
              <w:spacing w:line="440" w:lineRule="exact"/>
              <w:ind w:left="0" w:right="1" w:firstLine="0" w:firstLineChars="0"/>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≤100</w:t>
            </w:r>
            <w:r>
              <w:rPr>
                <w:rFonts w:hint="eastAsia" w:ascii="宋体" w:hAnsi="宋体" w:eastAsia="宋体" w:cs="宋体"/>
                <w:sz w:val="24"/>
                <w:szCs w:val="24"/>
              </w:rPr>
              <w:t xml:space="preserve"> mg/</w:t>
            </w:r>
            <w:r>
              <w:rPr>
                <w:rFonts w:hint="eastAsia" w:ascii="宋体" w:hAnsi="宋体" w:eastAsia="宋体" w:cs="宋体"/>
                <w:sz w:val="24"/>
                <w:szCs w:val="24"/>
                <w:lang w:val="en-US" w:eastAsia="zh-CN"/>
              </w:rPr>
              <w:t>L</w:t>
            </w:r>
          </w:p>
        </w:tc>
        <w:tc>
          <w:tcPr>
            <w:tcW w:w="1629" w:type="dxa"/>
            <w:vAlign w:val="center"/>
          </w:tcPr>
          <w:p w14:paraId="0723E079">
            <w:pPr>
              <w:pStyle w:val="12"/>
              <w:spacing w:line="440" w:lineRule="exact"/>
              <w:ind w:left="0" w:right="1" w:firstLine="0" w:firstLineChars="0"/>
              <w:jc w:val="center"/>
              <w:rPr>
                <w:rFonts w:hint="eastAsia" w:ascii="宋体" w:hAnsi="宋体" w:eastAsia="宋体" w:cs="宋体"/>
                <w:sz w:val="24"/>
                <w:szCs w:val="24"/>
                <w:lang w:val="en-US" w:eastAsia="zh-CN"/>
              </w:rPr>
            </w:pPr>
            <w:r>
              <w:rPr>
                <w:rFonts w:hint="eastAsia" w:ascii="宋体" w:hAnsi="宋体" w:eastAsia="宋体" w:cs="宋体"/>
                <w:kern w:val="0"/>
                <w:sz w:val="24"/>
                <w:szCs w:val="24"/>
              </w:rPr>
              <w:t>≤6</w:t>
            </w:r>
            <w:r>
              <w:rPr>
                <w:rFonts w:hint="eastAsia" w:ascii="宋体" w:hAnsi="宋体" w:eastAsia="宋体" w:cs="宋体"/>
                <w:sz w:val="24"/>
                <w:szCs w:val="24"/>
              </w:rPr>
              <w:t>0mg/</w:t>
            </w:r>
            <w:r>
              <w:rPr>
                <w:rFonts w:hint="eastAsia" w:ascii="宋体" w:hAnsi="宋体" w:eastAsia="宋体" w:cs="宋体"/>
                <w:sz w:val="24"/>
                <w:szCs w:val="24"/>
                <w:lang w:val="en-US" w:eastAsia="zh-CN"/>
              </w:rPr>
              <w:t>L</w:t>
            </w:r>
          </w:p>
        </w:tc>
        <w:tc>
          <w:tcPr>
            <w:tcW w:w="1683" w:type="dxa"/>
            <w:vAlign w:val="center"/>
          </w:tcPr>
          <w:p w14:paraId="14AAFCB5">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kern w:val="0"/>
                <w:sz w:val="24"/>
                <w:szCs w:val="24"/>
              </w:rPr>
              <w:t>≤50</w:t>
            </w:r>
            <w:r>
              <w:rPr>
                <w:rFonts w:hint="eastAsia" w:ascii="宋体" w:hAnsi="宋体" w:eastAsia="宋体" w:cs="宋体"/>
                <w:sz w:val="24"/>
                <w:szCs w:val="24"/>
              </w:rPr>
              <w:t>00个/L</w:t>
            </w:r>
          </w:p>
        </w:tc>
        <w:tc>
          <w:tcPr>
            <w:tcW w:w="953" w:type="dxa"/>
            <w:vAlign w:val="center"/>
          </w:tcPr>
          <w:p w14:paraId="3A3B39FC">
            <w:pPr>
              <w:pStyle w:val="12"/>
              <w:spacing w:line="440" w:lineRule="exact"/>
              <w:ind w:left="0" w:right="1" w:firstLine="0" w:firstLineChars="0"/>
              <w:jc w:val="center"/>
              <w:rPr>
                <w:rFonts w:ascii="宋体" w:hAnsi="宋体" w:eastAsia="宋体" w:cs="宋体"/>
                <w:sz w:val="24"/>
                <w:szCs w:val="24"/>
              </w:rPr>
            </w:pPr>
            <w:r>
              <w:rPr>
                <w:rFonts w:hint="eastAsia" w:ascii="宋体" w:hAnsi="宋体" w:eastAsia="宋体" w:cs="宋体"/>
                <w:sz w:val="24"/>
                <w:szCs w:val="24"/>
              </w:rPr>
              <w:t>6～9</w:t>
            </w:r>
          </w:p>
        </w:tc>
      </w:tr>
    </w:tbl>
    <w:p w14:paraId="7EB6B4F9">
      <w:pPr>
        <w:pStyle w:val="11"/>
        <w:keepLines w:val="0"/>
        <w:pageBreakBefore w:val="0"/>
        <w:widowControl w:val="0"/>
        <w:numPr>
          <w:ilvl w:val="0"/>
          <w:numId w:val="0"/>
        </w:numPr>
        <w:kinsoku/>
        <w:wordWrap/>
        <w:overflowPunct/>
        <w:topLinePunct w:val="0"/>
        <w:autoSpaceDE/>
        <w:autoSpaceDN/>
        <w:bidi w:val="0"/>
        <w:snapToGrid/>
        <w:spacing w:line="480" w:lineRule="exact"/>
        <w:ind w:leftChars="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二、服务的内容及期限</w:t>
      </w:r>
    </w:p>
    <w:p w14:paraId="3F06C166">
      <w:pPr>
        <w:keepLines w:val="0"/>
        <w:pageBreakBefore w:val="0"/>
        <w:widowControl w:val="0"/>
        <w:kinsoku/>
        <w:wordWrap/>
        <w:overflowPunct/>
        <w:topLinePunct w:val="0"/>
        <w:autoSpaceDE/>
        <w:autoSpaceDN/>
        <w:bidi w:val="0"/>
        <w:snapToGrid/>
        <w:spacing w:line="48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承包方式：</w:t>
      </w:r>
      <w:r>
        <w:rPr>
          <w:rFonts w:hint="eastAsia" w:ascii="宋体" w:hAnsi="宋体" w:eastAsia="宋体" w:cs="宋体"/>
          <w:color w:val="auto"/>
          <w:sz w:val="24"/>
          <w:szCs w:val="24"/>
          <w:highlight w:val="none"/>
          <w:u w:val="single"/>
          <w:lang w:val="en-US" w:eastAsia="zh-CN"/>
        </w:rPr>
        <w:t>本项目为交钥匙工程，</w:t>
      </w:r>
      <w:r>
        <w:rPr>
          <w:rFonts w:hint="eastAsia" w:ascii="宋体" w:hAnsi="宋体" w:eastAsia="宋体" w:cs="宋体"/>
          <w:color w:val="auto"/>
          <w:sz w:val="24"/>
          <w:szCs w:val="24"/>
          <w:highlight w:val="none"/>
          <w:u w:val="single"/>
        </w:rPr>
        <w:t>采用</w:t>
      </w:r>
      <w:r>
        <w:rPr>
          <w:rFonts w:hint="eastAsia" w:ascii="宋体" w:hAnsi="宋体" w:eastAsia="宋体" w:cs="宋体"/>
          <w:color w:val="auto"/>
          <w:sz w:val="24"/>
          <w:szCs w:val="24"/>
          <w:highlight w:val="none"/>
          <w:u w:val="single"/>
          <w:lang w:val="en-US" w:eastAsia="zh-CN"/>
        </w:rPr>
        <w:t>调研人九龙湖</w:t>
      </w:r>
      <w:r>
        <w:rPr>
          <w:rFonts w:hint="eastAsia" w:ascii="宋体" w:hAnsi="宋体" w:eastAsia="宋体" w:cs="宋体"/>
          <w:color w:val="auto"/>
          <w:sz w:val="24"/>
          <w:szCs w:val="24"/>
          <w:highlight w:val="none"/>
          <w:u w:val="single"/>
        </w:rPr>
        <w:t>院区污水处理站运维</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服务</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工作及</w:t>
      </w:r>
      <w:r>
        <w:rPr>
          <w:rFonts w:hint="eastAsia" w:ascii="宋体" w:hAnsi="宋体" w:eastAsia="宋体" w:cs="宋体"/>
          <w:color w:val="auto"/>
          <w:sz w:val="24"/>
          <w:szCs w:val="24"/>
          <w:highlight w:val="none"/>
          <w:u w:val="single"/>
        </w:rPr>
        <w:t>经费包干</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任务包干</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责任包干</w:t>
      </w:r>
      <w:r>
        <w:rPr>
          <w:rFonts w:hint="eastAsia" w:ascii="宋体" w:hAnsi="宋体" w:eastAsia="宋体" w:cs="宋体"/>
          <w:color w:val="auto"/>
          <w:sz w:val="24"/>
          <w:szCs w:val="24"/>
          <w:highlight w:val="none"/>
          <w:u w:val="single"/>
          <w:lang w:val="en-US" w:eastAsia="zh-CN"/>
        </w:rPr>
        <w:t>等</w:t>
      </w:r>
      <w:r>
        <w:rPr>
          <w:rFonts w:hint="eastAsia" w:ascii="宋体" w:hAnsi="宋体" w:eastAsia="宋体" w:cs="宋体"/>
          <w:color w:val="auto"/>
          <w:sz w:val="24"/>
          <w:szCs w:val="24"/>
          <w:highlight w:val="none"/>
          <w:u w:val="single"/>
        </w:rPr>
        <w:t>的</w:t>
      </w:r>
      <w:r>
        <w:rPr>
          <w:rFonts w:hint="eastAsia" w:ascii="宋体" w:hAnsi="宋体" w:eastAsia="宋体" w:cs="宋体"/>
          <w:color w:val="auto"/>
          <w:sz w:val="24"/>
          <w:szCs w:val="24"/>
          <w:highlight w:val="none"/>
          <w:u w:val="single"/>
          <w:lang w:val="en-US" w:eastAsia="zh-CN"/>
        </w:rPr>
        <w:t>包工包料、</w:t>
      </w:r>
      <w:r>
        <w:rPr>
          <w:rFonts w:hint="eastAsia" w:ascii="宋体" w:hAnsi="宋体" w:eastAsia="宋体" w:cs="宋体"/>
          <w:color w:val="auto"/>
          <w:sz w:val="24"/>
          <w:szCs w:val="24"/>
          <w:highlight w:val="none"/>
          <w:u w:val="single"/>
        </w:rPr>
        <w:t>整体承包方式</w:t>
      </w:r>
      <w:r>
        <w:rPr>
          <w:rFonts w:hint="eastAsia" w:ascii="宋体" w:hAnsi="宋体" w:eastAsia="宋体" w:cs="宋体"/>
          <w:color w:val="auto"/>
          <w:sz w:val="24"/>
          <w:szCs w:val="24"/>
          <w:highlight w:val="none"/>
        </w:rPr>
        <w:t>。</w:t>
      </w:r>
    </w:p>
    <w:p w14:paraId="3A6FA2DE">
      <w:pPr>
        <w:keepLines w:val="0"/>
        <w:pageBreakBefore w:val="0"/>
        <w:widowControl w:val="0"/>
        <w:kinsoku/>
        <w:wordWrap/>
        <w:overflowPunct/>
        <w:topLinePunct w:val="0"/>
        <w:autoSpaceDE/>
        <w:autoSpaceDN/>
        <w:bidi w:val="0"/>
        <w:snapToGrid/>
        <w:spacing w:line="480" w:lineRule="exact"/>
        <w:jc w:val="left"/>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具体服务内容包括：</w:t>
      </w:r>
      <w:r>
        <w:rPr>
          <w:rFonts w:hint="eastAsia" w:ascii="宋体" w:hAnsi="宋体" w:eastAsia="宋体" w:cs="宋体"/>
          <w:color w:val="auto"/>
          <w:sz w:val="24"/>
          <w:szCs w:val="24"/>
          <w:highlight w:val="none"/>
          <w:u w:val="single"/>
        </w:rPr>
        <w:t>（1）污水处理站设施设备操作及管理工作，确保医院污水始终达标排放</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污水处理站的设施设备日常擦洗保养及维护维修工作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污水处理站的安全生产</w:t>
      </w:r>
      <w:r>
        <w:rPr>
          <w:rFonts w:hint="eastAsia" w:ascii="宋体" w:hAnsi="宋体" w:eastAsia="宋体" w:cs="宋体"/>
          <w:color w:val="auto"/>
          <w:sz w:val="24"/>
          <w:szCs w:val="24"/>
          <w:highlight w:val="none"/>
          <w:u w:val="single"/>
          <w:lang w:val="en-US" w:eastAsia="zh-CN"/>
        </w:rPr>
        <w:t>及责任</w:t>
      </w:r>
      <w:r>
        <w:rPr>
          <w:rFonts w:hint="eastAsia" w:ascii="宋体" w:hAnsi="宋体" w:eastAsia="宋体" w:cs="宋体"/>
          <w:color w:val="auto"/>
          <w:sz w:val="24"/>
          <w:szCs w:val="24"/>
          <w:highlight w:val="none"/>
          <w:u w:val="single"/>
        </w:rPr>
        <w:t>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4</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污水处理站药剂和油料的采购、保管、投放工作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污水处理站污泥</w:t>
      </w:r>
      <w:r>
        <w:rPr>
          <w:rFonts w:hint="eastAsia" w:ascii="宋体" w:hAnsi="宋体" w:eastAsia="宋体" w:cs="宋体"/>
          <w:color w:val="auto"/>
          <w:sz w:val="24"/>
          <w:szCs w:val="24"/>
          <w:highlight w:val="none"/>
          <w:u w:val="single"/>
          <w:lang w:val="en-US" w:eastAsia="zh-CN"/>
        </w:rPr>
        <w:t>清理</w:t>
      </w:r>
      <w:r>
        <w:rPr>
          <w:rFonts w:hint="eastAsia" w:ascii="宋体" w:hAnsi="宋体" w:eastAsia="宋体" w:cs="宋体"/>
          <w:color w:val="auto"/>
          <w:sz w:val="24"/>
          <w:szCs w:val="24"/>
          <w:highlight w:val="none"/>
          <w:u w:val="single"/>
        </w:rPr>
        <w:t>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在线监测设备的日常运行</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负责排水水质的</w:t>
      </w:r>
      <w:r>
        <w:rPr>
          <w:rFonts w:hint="eastAsia" w:ascii="宋体" w:hAnsi="宋体" w:eastAsia="宋体" w:cs="宋体"/>
          <w:color w:val="auto"/>
          <w:sz w:val="24"/>
          <w:szCs w:val="24"/>
          <w:highlight w:val="none"/>
          <w:u w:val="single"/>
          <w:lang w:val="en-US" w:eastAsia="zh-CN"/>
        </w:rPr>
        <w:t>达标工作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负责配合相关上级监管部门的检查及相关档案建立</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数据记录、台账工作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质保范围内</w:t>
      </w:r>
      <w:r>
        <w:rPr>
          <w:rFonts w:hint="eastAsia" w:ascii="宋体" w:hAnsi="宋体" w:eastAsia="宋体" w:cs="宋体"/>
          <w:color w:val="auto"/>
          <w:sz w:val="24"/>
          <w:szCs w:val="24"/>
          <w:highlight w:val="none"/>
          <w:u w:val="single"/>
        </w:rPr>
        <w:t>负责</w:t>
      </w:r>
      <w:r>
        <w:rPr>
          <w:rFonts w:hint="eastAsia" w:ascii="宋体" w:hAnsi="宋体" w:cs="宋体"/>
          <w:color w:val="auto"/>
          <w:sz w:val="24"/>
          <w:szCs w:val="24"/>
          <w:highlight w:val="none"/>
          <w:u w:val="single"/>
          <w:lang w:val="en-US" w:eastAsia="zh-CN"/>
        </w:rPr>
        <w:t>联系</w:t>
      </w:r>
      <w:r>
        <w:rPr>
          <w:rFonts w:hint="eastAsia" w:ascii="宋体" w:hAnsi="宋体" w:eastAsia="宋体" w:cs="宋体"/>
          <w:color w:val="auto"/>
          <w:sz w:val="24"/>
          <w:szCs w:val="24"/>
          <w:highlight w:val="none"/>
          <w:u w:val="single"/>
        </w:rPr>
        <w:t>设备厂家维保工作</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负责完成院方交代的工作范围内的其他工作</w:t>
      </w:r>
      <w:r>
        <w:rPr>
          <w:rFonts w:hint="eastAsia" w:ascii="宋体" w:hAnsi="宋体" w:eastAsia="宋体" w:cs="宋体"/>
          <w:color w:val="auto"/>
          <w:sz w:val="24"/>
          <w:szCs w:val="24"/>
          <w:highlight w:val="none"/>
          <w:u w:val="single"/>
          <w:lang w:eastAsia="zh-CN"/>
        </w:rPr>
        <w:t>。</w:t>
      </w:r>
    </w:p>
    <w:p w14:paraId="32C0F3C6">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本合同项目下的服务期限为：</w:t>
      </w:r>
      <w:r>
        <w:rPr>
          <w:rFonts w:hint="eastAsia" w:ascii="宋体" w:hAnsi="宋体" w:eastAsia="宋体" w:cs="宋体"/>
          <w:color w:val="auto"/>
          <w:sz w:val="24"/>
          <w:szCs w:val="24"/>
          <w:highlight w:val="none"/>
          <w:u w:val="single"/>
        </w:rPr>
        <w:t xml:space="preserve"> 三年 </w:t>
      </w:r>
    </w:p>
    <w:p w14:paraId="5DB43B64">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服务地点</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南昌市第一医院九龙湖院区（鹰潭街777号）</w:t>
      </w:r>
      <w:r>
        <w:rPr>
          <w:rFonts w:hint="eastAsia" w:ascii="宋体" w:hAnsi="宋体" w:eastAsia="宋体" w:cs="宋体"/>
          <w:color w:val="auto"/>
          <w:sz w:val="24"/>
          <w:szCs w:val="24"/>
          <w:highlight w:val="none"/>
        </w:rPr>
        <w:t>。</w:t>
      </w:r>
    </w:p>
    <w:p w14:paraId="555B01BC">
      <w:pPr>
        <w:keepLines w:val="0"/>
        <w:pageBreakBefore w:val="0"/>
        <w:widowControl w:val="0"/>
        <w:kinsoku/>
        <w:wordWrap/>
        <w:overflowPunct/>
        <w:topLinePunct w:val="0"/>
        <w:autoSpaceDE/>
        <w:autoSpaceDN/>
        <w:bidi w:val="0"/>
        <w:snapToGrid/>
        <w:spacing w:line="480" w:lineRule="exact"/>
        <w:ind w:left="360" w:hanging="360" w:hanging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要求</w:t>
      </w:r>
    </w:p>
    <w:p w14:paraId="66F101BC">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1、基本服务标准：</w:t>
      </w:r>
      <w:r>
        <w:rPr>
          <w:rFonts w:hint="eastAsia" w:ascii="宋体" w:hAnsi="宋体" w:eastAsia="宋体" w:cs="宋体"/>
          <w:color w:val="auto"/>
          <w:sz w:val="24"/>
          <w:szCs w:val="24"/>
          <w:highlight w:val="none"/>
          <w:lang w:val="en-US" w:eastAsia="zh-CN"/>
        </w:rPr>
        <w:t xml:space="preserve">在现有工艺情况下，废水经处理后排入城市污水管道，污水排放需按照环保部门要求,出水指标到达《排污许可证》、《医疗机构污水排放标准》（GB18466-2005）表2预处理标准执行，氨氮参照《污水排入城镇下水道水质标准》（GB/T31962-2015）表1中C级标准以上。服务期间，若政府相关标准或要求发生变化，中标人应立即改进方法，直至达到最新标准或要求。对此产生的所有风险、责任和费用均由中标人承担。 </w:t>
      </w:r>
    </w:p>
    <w:p w14:paraId="32B0DF87">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药品要求</w:t>
      </w:r>
      <w:r>
        <w:rPr>
          <w:rFonts w:hint="eastAsia" w:ascii="宋体" w:hAnsi="宋体" w:eastAsia="宋体" w:cs="宋体"/>
          <w:color w:val="auto"/>
          <w:sz w:val="24"/>
          <w:szCs w:val="24"/>
          <w:highlight w:val="none"/>
        </w:rPr>
        <w:t>：次氯酸钠、氢氧化钠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阳离子PAM药剂、在线COD仪表配套试剂及在线余氯仪表配套试剂等。</w:t>
      </w:r>
    </w:p>
    <w:p w14:paraId="117F3652">
      <w:pPr>
        <w:pStyle w:val="7"/>
        <w:keepLines w:val="0"/>
        <w:pageBreakBefore w:val="0"/>
        <w:widowControl w:val="0"/>
        <w:kinsoku/>
        <w:wordWrap/>
        <w:overflowPunct/>
        <w:topLinePunct w:val="0"/>
        <w:autoSpaceDE/>
        <w:autoSpaceDN/>
        <w:bidi w:val="0"/>
        <w:snapToGrid/>
        <w:spacing w:line="480" w:lineRule="exact"/>
        <w:ind w:firstLine="2891" w:firstLineChars="1200"/>
        <w:jc w:val="both"/>
        <w:textAlignment w:val="auto"/>
        <w:rPr>
          <w:rFonts w:hint="eastAsia" w:ascii="宋体" w:hAnsi="宋体" w:eastAsia="宋体" w:cs="宋体"/>
          <w:b/>
          <w:bCs/>
          <w:color w:val="auto"/>
          <w:sz w:val="24"/>
          <w:szCs w:val="24"/>
          <w:highlight w:val="none"/>
        </w:rPr>
      </w:pPr>
    </w:p>
    <w:p w14:paraId="464F861A">
      <w:pPr>
        <w:pStyle w:val="7"/>
        <w:keepLines w:val="0"/>
        <w:pageBreakBefore w:val="0"/>
        <w:widowControl w:val="0"/>
        <w:kinsoku/>
        <w:wordWrap/>
        <w:overflowPunct/>
        <w:topLinePunct w:val="0"/>
        <w:autoSpaceDE/>
        <w:autoSpaceDN/>
        <w:bidi w:val="0"/>
        <w:snapToGrid/>
        <w:spacing w:line="480" w:lineRule="exact"/>
        <w:ind w:firstLine="3614" w:firstLineChars="1500"/>
        <w:jc w:val="both"/>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运行消耗药剂清单</w:t>
      </w:r>
    </w:p>
    <w:tbl>
      <w:tblPr>
        <w:tblStyle w:val="8"/>
        <w:tblW w:w="3430" w:type="pct"/>
        <w:jc w:val="center"/>
        <w:tblLayout w:type="autofit"/>
        <w:tblCellMar>
          <w:top w:w="0" w:type="dxa"/>
          <w:left w:w="108" w:type="dxa"/>
          <w:bottom w:w="0" w:type="dxa"/>
          <w:right w:w="108" w:type="dxa"/>
        </w:tblCellMar>
      </w:tblPr>
      <w:tblGrid>
        <w:gridCol w:w="924"/>
        <w:gridCol w:w="1801"/>
        <w:gridCol w:w="1754"/>
        <w:gridCol w:w="1367"/>
      </w:tblGrid>
      <w:tr w14:paraId="01E2E444">
        <w:tblPrEx>
          <w:tblCellMar>
            <w:top w:w="0" w:type="dxa"/>
            <w:left w:w="108" w:type="dxa"/>
            <w:bottom w:w="0" w:type="dxa"/>
            <w:right w:w="108" w:type="dxa"/>
          </w:tblCellMar>
        </w:tblPrEx>
        <w:trPr>
          <w:cantSplit/>
          <w:trHeight w:val="686" w:hRule="atLeast"/>
          <w:tblHeader/>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14:paraId="4EF88839">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1540" w:type="pct"/>
            <w:tcBorders>
              <w:top w:val="single" w:color="auto" w:sz="4" w:space="0"/>
              <w:left w:val="single" w:color="auto" w:sz="4" w:space="0"/>
              <w:bottom w:val="single" w:color="auto" w:sz="4" w:space="0"/>
              <w:right w:val="single" w:color="auto" w:sz="4" w:space="0"/>
            </w:tcBorders>
            <w:noWrap w:val="0"/>
            <w:vAlign w:val="center"/>
          </w:tcPr>
          <w:p w14:paraId="0D5396C8">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药剂名称</w:t>
            </w:r>
          </w:p>
        </w:tc>
        <w:tc>
          <w:tcPr>
            <w:tcW w:w="1500" w:type="pct"/>
            <w:tcBorders>
              <w:top w:val="single" w:color="auto" w:sz="4" w:space="0"/>
              <w:left w:val="single" w:color="auto" w:sz="4" w:space="0"/>
              <w:bottom w:val="single" w:color="auto" w:sz="4" w:space="0"/>
              <w:right w:val="single" w:color="auto" w:sz="4" w:space="0"/>
            </w:tcBorders>
            <w:noWrap w:val="0"/>
            <w:vAlign w:val="center"/>
          </w:tcPr>
          <w:p w14:paraId="0700C2D7">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规格</w:t>
            </w:r>
          </w:p>
        </w:tc>
        <w:tc>
          <w:tcPr>
            <w:tcW w:w="1169" w:type="pct"/>
            <w:tcBorders>
              <w:top w:val="single" w:color="auto" w:sz="4" w:space="0"/>
              <w:left w:val="single" w:color="auto" w:sz="4" w:space="0"/>
              <w:bottom w:val="single" w:color="auto" w:sz="4" w:space="0"/>
              <w:right w:val="single" w:color="auto" w:sz="4" w:space="0"/>
            </w:tcBorders>
            <w:noWrap w:val="0"/>
            <w:vAlign w:val="center"/>
          </w:tcPr>
          <w:p w14:paraId="70F98AED">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r>
      <w:tr w14:paraId="59CC7958">
        <w:tblPrEx>
          <w:tblCellMar>
            <w:top w:w="0" w:type="dxa"/>
            <w:left w:w="108" w:type="dxa"/>
            <w:bottom w:w="0" w:type="dxa"/>
            <w:right w:w="108" w:type="dxa"/>
          </w:tblCellMar>
        </w:tblPrEx>
        <w:trPr>
          <w:cantSplit/>
          <w:trHeight w:val="397"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14:paraId="0AA54D8B">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1540" w:type="pct"/>
            <w:tcBorders>
              <w:top w:val="single" w:color="auto" w:sz="4" w:space="0"/>
              <w:left w:val="single" w:color="auto" w:sz="4" w:space="0"/>
              <w:bottom w:val="single" w:color="auto" w:sz="4" w:space="0"/>
              <w:right w:val="single" w:color="auto" w:sz="4" w:space="0"/>
            </w:tcBorders>
            <w:noWrap w:val="0"/>
            <w:vAlign w:val="center"/>
          </w:tcPr>
          <w:p w14:paraId="6A2DFE0D">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次氯酸钠</w:t>
            </w:r>
          </w:p>
        </w:tc>
        <w:tc>
          <w:tcPr>
            <w:tcW w:w="1500" w:type="pct"/>
            <w:tcBorders>
              <w:top w:val="single" w:color="auto" w:sz="4" w:space="0"/>
              <w:left w:val="single" w:color="auto" w:sz="4" w:space="0"/>
              <w:bottom w:val="single" w:color="auto" w:sz="4" w:space="0"/>
              <w:right w:val="single" w:color="auto" w:sz="4" w:space="0"/>
            </w:tcBorders>
            <w:noWrap w:val="0"/>
            <w:vAlign w:val="center"/>
          </w:tcPr>
          <w:p w14:paraId="62223EFD">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工业级，质量浓度1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%溶液</w:t>
            </w:r>
          </w:p>
        </w:tc>
        <w:tc>
          <w:tcPr>
            <w:tcW w:w="1169" w:type="pct"/>
            <w:tcBorders>
              <w:top w:val="single" w:color="auto" w:sz="4" w:space="0"/>
              <w:left w:val="single" w:color="auto" w:sz="4" w:space="0"/>
              <w:bottom w:val="single" w:color="auto" w:sz="4" w:space="0"/>
              <w:right w:val="single" w:color="auto" w:sz="4" w:space="0"/>
            </w:tcBorders>
            <w:noWrap w:val="0"/>
            <w:vAlign w:val="center"/>
          </w:tcPr>
          <w:p w14:paraId="36959B70">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MBR膜维护性清洗</w:t>
            </w:r>
          </w:p>
        </w:tc>
      </w:tr>
      <w:tr w14:paraId="7A713FF7">
        <w:tblPrEx>
          <w:tblCellMar>
            <w:top w:w="0" w:type="dxa"/>
            <w:left w:w="108" w:type="dxa"/>
            <w:bottom w:w="0" w:type="dxa"/>
            <w:right w:w="108" w:type="dxa"/>
          </w:tblCellMar>
        </w:tblPrEx>
        <w:trPr>
          <w:cantSplit/>
          <w:trHeight w:val="397"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14:paraId="1ABCBC21">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540" w:type="pct"/>
            <w:tcBorders>
              <w:top w:val="single" w:color="auto" w:sz="4" w:space="0"/>
              <w:left w:val="single" w:color="auto" w:sz="4" w:space="0"/>
              <w:bottom w:val="single" w:color="auto" w:sz="4" w:space="0"/>
              <w:right w:val="single" w:color="auto" w:sz="4" w:space="0"/>
            </w:tcBorders>
            <w:noWrap w:val="0"/>
            <w:vAlign w:val="center"/>
          </w:tcPr>
          <w:p w14:paraId="53A524E0">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阳离子PAM</w:t>
            </w:r>
          </w:p>
          <w:p w14:paraId="6141DBD2">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（聚丙烯酰胺）</w:t>
            </w:r>
          </w:p>
        </w:tc>
        <w:tc>
          <w:tcPr>
            <w:tcW w:w="1500" w:type="pct"/>
            <w:tcBorders>
              <w:top w:val="single" w:color="auto" w:sz="4" w:space="0"/>
              <w:left w:val="single" w:color="auto" w:sz="4" w:space="0"/>
              <w:bottom w:val="single" w:color="auto" w:sz="4" w:space="0"/>
              <w:right w:val="single" w:color="auto" w:sz="4" w:space="0"/>
            </w:tcBorders>
            <w:noWrap w:val="0"/>
            <w:vAlign w:val="center"/>
          </w:tcPr>
          <w:p w14:paraId="6B6F5038">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阳离子型，分子量1200万。固体含量≥90%</w:t>
            </w:r>
          </w:p>
        </w:tc>
        <w:tc>
          <w:tcPr>
            <w:tcW w:w="1169" w:type="pct"/>
            <w:tcBorders>
              <w:top w:val="single" w:color="auto" w:sz="4" w:space="0"/>
              <w:left w:val="single" w:color="auto" w:sz="4" w:space="0"/>
              <w:bottom w:val="single" w:color="auto" w:sz="4" w:space="0"/>
              <w:right w:val="single" w:color="auto" w:sz="4" w:space="0"/>
            </w:tcBorders>
            <w:noWrap w:val="0"/>
            <w:vAlign w:val="center"/>
          </w:tcPr>
          <w:p w14:paraId="4B75FE46">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污泥脱水</w:t>
            </w:r>
          </w:p>
        </w:tc>
      </w:tr>
      <w:tr w14:paraId="2F54876E">
        <w:tblPrEx>
          <w:tblCellMar>
            <w:top w:w="0" w:type="dxa"/>
            <w:left w:w="108" w:type="dxa"/>
            <w:bottom w:w="0" w:type="dxa"/>
            <w:right w:w="108" w:type="dxa"/>
          </w:tblCellMar>
        </w:tblPrEx>
        <w:trPr>
          <w:cantSplit/>
          <w:trHeight w:val="397"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14:paraId="43D06E6A">
            <w:pPr>
              <w:pStyle w:val="13"/>
              <w:keepLines w:val="0"/>
              <w:pageBreakBefore w:val="0"/>
              <w:widowControl w:val="0"/>
              <w:kinsoku/>
              <w:wordWrap/>
              <w:overflowPunct/>
              <w:topLinePunct w:val="0"/>
              <w:autoSpaceDE/>
              <w:autoSpaceDN/>
              <w:bidi w:val="0"/>
              <w:snapToGrid/>
              <w:spacing w:line="48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540" w:type="pct"/>
            <w:tcBorders>
              <w:top w:val="single" w:color="auto" w:sz="4" w:space="0"/>
              <w:left w:val="single" w:color="auto" w:sz="4" w:space="0"/>
              <w:bottom w:val="single" w:color="auto" w:sz="4" w:space="0"/>
              <w:right w:val="single" w:color="auto" w:sz="4" w:space="0"/>
            </w:tcBorders>
            <w:noWrap w:val="0"/>
            <w:vAlign w:val="center"/>
          </w:tcPr>
          <w:p w14:paraId="3C1C0FE1">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氢氧化钠</w:t>
            </w:r>
          </w:p>
        </w:tc>
        <w:tc>
          <w:tcPr>
            <w:tcW w:w="1500" w:type="pct"/>
            <w:tcBorders>
              <w:top w:val="single" w:color="auto" w:sz="4" w:space="0"/>
              <w:left w:val="single" w:color="auto" w:sz="4" w:space="0"/>
              <w:bottom w:val="single" w:color="auto" w:sz="4" w:space="0"/>
              <w:right w:val="single" w:color="auto" w:sz="4" w:space="0"/>
            </w:tcBorders>
            <w:noWrap w:val="0"/>
            <w:vAlign w:val="center"/>
          </w:tcPr>
          <w:p w14:paraId="6C08FB0D">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p>
        </w:tc>
        <w:tc>
          <w:tcPr>
            <w:tcW w:w="1169" w:type="pct"/>
            <w:tcBorders>
              <w:top w:val="single" w:color="auto" w:sz="4" w:space="0"/>
              <w:left w:val="single" w:color="auto" w:sz="4" w:space="0"/>
              <w:bottom w:val="single" w:color="auto" w:sz="4" w:space="0"/>
              <w:right w:val="single" w:color="auto" w:sz="4" w:space="0"/>
            </w:tcBorders>
            <w:noWrap w:val="0"/>
            <w:vAlign w:val="center"/>
          </w:tcPr>
          <w:p w14:paraId="63E9AE32">
            <w:pPr>
              <w:pStyle w:val="13"/>
              <w:keepLines w:val="0"/>
              <w:pageBreakBefore w:val="0"/>
              <w:widowControl w:val="0"/>
              <w:kinsoku/>
              <w:wordWrap/>
              <w:overflowPunct/>
              <w:topLinePunct w:val="0"/>
              <w:autoSpaceDE/>
              <w:autoSpaceDN/>
              <w:bidi w:val="0"/>
              <w:snapToGrid/>
              <w:spacing w:line="48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废气处理</w:t>
            </w:r>
          </w:p>
        </w:tc>
      </w:tr>
      <w:tr w14:paraId="160B7C29">
        <w:tblPrEx>
          <w:tblCellMar>
            <w:top w:w="0" w:type="dxa"/>
            <w:left w:w="108" w:type="dxa"/>
            <w:bottom w:w="0" w:type="dxa"/>
            <w:right w:w="108" w:type="dxa"/>
          </w:tblCellMar>
        </w:tblPrEx>
        <w:trPr>
          <w:cantSplit/>
          <w:trHeight w:val="397"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14:paraId="1B24D3BC">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540" w:type="pct"/>
            <w:tcBorders>
              <w:top w:val="single" w:color="auto" w:sz="4" w:space="0"/>
              <w:left w:val="single" w:color="auto" w:sz="4" w:space="0"/>
              <w:bottom w:val="single" w:color="auto" w:sz="4" w:space="0"/>
              <w:right w:val="single" w:color="auto" w:sz="4" w:space="0"/>
            </w:tcBorders>
            <w:noWrap w:val="0"/>
            <w:vAlign w:val="center"/>
          </w:tcPr>
          <w:p w14:paraId="503B9C21">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在线COD仪表配套试剂</w:t>
            </w:r>
          </w:p>
        </w:tc>
        <w:tc>
          <w:tcPr>
            <w:tcW w:w="1500" w:type="pct"/>
            <w:tcBorders>
              <w:top w:val="single" w:color="auto" w:sz="4" w:space="0"/>
              <w:left w:val="single" w:color="auto" w:sz="4" w:space="0"/>
              <w:bottom w:val="single" w:color="auto" w:sz="4" w:space="0"/>
              <w:right w:val="single" w:color="auto" w:sz="4" w:space="0"/>
            </w:tcBorders>
            <w:noWrap w:val="0"/>
            <w:vAlign w:val="center"/>
          </w:tcPr>
          <w:p w14:paraId="1FB36C5E">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仪表厂家配套</w:t>
            </w:r>
          </w:p>
        </w:tc>
        <w:tc>
          <w:tcPr>
            <w:tcW w:w="1169" w:type="pct"/>
            <w:tcBorders>
              <w:top w:val="single" w:color="auto" w:sz="4" w:space="0"/>
              <w:left w:val="single" w:color="auto" w:sz="4" w:space="0"/>
              <w:bottom w:val="single" w:color="auto" w:sz="4" w:space="0"/>
              <w:right w:val="single" w:color="auto" w:sz="4" w:space="0"/>
            </w:tcBorders>
            <w:noWrap w:val="0"/>
            <w:vAlign w:val="center"/>
          </w:tcPr>
          <w:p w14:paraId="5C9033F0">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COD监测</w:t>
            </w:r>
          </w:p>
        </w:tc>
      </w:tr>
      <w:tr w14:paraId="68460365">
        <w:tblPrEx>
          <w:tblCellMar>
            <w:top w:w="0" w:type="dxa"/>
            <w:left w:w="108" w:type="dxa"/>
            <w:bottom w:w="0" w:type="dxa"/>
            <w:right w:w="108" w:type="dxa"/>
          </w:tblCellMar>
        </w:tblPrEx>
        <w:trPr>
          <w:cantSplit/>
          <w:trHeight w:val="397" w:hRule="atLeast"/>
          <w:jc w:val="center"/>
        </w:trPr>
        <w:tc>
          <w:tcPr>
            <w:tcW w:w="790" w:type="pct"/>
            <w:tcBorders>
              <w:top w:val="single" w:color="auto" w:sz="4" w:space="0"/>
              <w:left w:val="single" w:color="auto" w:sz="4" w:space="0"/>
              <w:bottom w:val="single" w:color="auto" w:sz="4" w:space="0"/>
              <w:right w:val="single" w:color="auto" w:sz="4" w:space="0"/>
            </w:tcBorders>
            <w:noWrap w:val="0"/>
            <w:vAlign w:val="center"/>
          </w:tcPr>
          <w:p w14:paraId="0129B242">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540" w:type="pct"/>
            <w:tcBorders>
              <w:top w:val="single" w:color="auto" w:sz="4" w:space="0"/>
              <w:left w:val="single" w:color="auto" w:sz="4" w:space="0"/>
              <w:bottom w:val="single" w:color="auto" w:sz="4" w:space="0"/>
              <w:right w:val="single" w:color="auto" w:sz="4" w:space="0"/>
            </w:tcBorders>
            <w:noWrap w:val="0"/>
            <w:vAlign w:val="center"/>
          </w:tcPr>
          <w:p w14:paraId="73355545">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在线余氯仪表配套试剂</w:t>
            </w:r>
          </w:p>
        </w:tc>
        <w:tc>
          <w:tcPr>
            <w:tcW w:w="1500" w:type="pct"/>
            <w:tcBorders>
              <w:top w:val="single" w:color="auto" w:sz="4" w:space="0"/>
              <w:left w:val="single" w:color="auto" w:sz="4" w:space="0"/>
              <w:bottom w:val="single" w:color="auto" w:sz="4" w:space="0"/>
              <w:right w:val="single" w:color="auto" w:sz="4" w:space="0"/>
            </w:tcBorders>
            <w:noWrap w:val="0"/>
            <w:vAlign w:val="center"/>
          </w:tcPr>
          <w:p w14:paraId="75EA6AFB">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仪表厂家配套</w:t>
            </w:r>
          </w:p>
        </w:tc>
        <w:tc>
          <w:tcPr>
            <w:tcW w:w="1169" w:type="pct"/>
            <w:tcBorders>
              <w:top w:val="single" w:color="auto" w:sz="4" w:space="0"/>
              <w:left w:val="single" w:color="auto" w:sz="4" w:space="0"/>
              <w:bottom w:val="single" w:color="auto" w:sz="4" w:space="0"/>
              <w:right w:val="single" w:color="auto" w:sz="4" w:space="0"/>
            </w:tcBorders>
            <w:noWrap w:val="0"/>
            <w:vAlign w:val="center"/>
          </w:tcPr>
          <w:p w14:paraId="25711B12">
            <w:pPr>
              <w:pStyle w:val="1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余氯监测</w:t>
            </w:r>
          </w:p>
        </w:tc>
      </w:tr>
    </w:tbl>
    <w:p w14:paraId="05606EF9">
      <w:pPr>
        <w:pStyle w:val="7"/>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rPr>
      </w:pPr>
    </w:p>
    <w:p w14:paraId="702AE93B">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3、设备调试、检测维护、MBR在线/离线清洗：</w:t>
      </w:r>
    </w:p>
    <w:p w14:paraId="17EBA925">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本项目运维服务范围中的相关设备包括水泵、风机、MBR膜、紫外线消毒机、叠螺机系统、除臭系统、电气自控仪表等，应组织原厂家进行现场技术培训、交底，并每年不少于4次的定期调试、检测维护。</w:t>
      </w:r>
    </w:p>
    <w:p w14:paraId="1D1788DA">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定期对紫外线消毒机进行检测，每半年对紫外线灯管进行辐照强度检测，如紫外线灯管强度降低或者损坏，需立即更换，费用由中标人支付。</w:t>
      </w:r>
    </w:p>
    <w:p w14:paraId="225EC86A">
      <w:pPr>
        <w:keepLines w:val="0"/>
        <w:pageBreakBefore w:val="0"/>
        <w:widowControl w:val="0"/>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为防止MBR膜污染，影响MBR膜的性能，MBR膜组件需要定期清洗，清洗方式包含在线维护性清洗，清洗频率为1次/周。MBR膜组件需要定期离线化学清洗，MBR膜的使用时间达到6个月左右时，MBR表面积攒污染物较多，需要将MBR膜组件吊出，浸没在专用化学清洗罐内（含碱洗+酸洗），清除污染物，须由专业清洗人员及专业设备进行清洗，清洗频率为2次/年（特殊情况如遇上级部门要求应增加清洗次数）。本项目须中标人邀设备厂家派专业人员进行，费用由中标人支付。</w:t>
      </w:r>
    </w:p>
    <w:p w14:paraId="33F85A82">
      <w:pPr>
        <w:numPr>
          <w:ilvl w:val="0"/>
          <w:numId w:val="1"/>
        </w:numPr>
        <w:autoSpaceDE/>
        <w:autoSpaceDN/>
        <w:spacing w:line="480" w:lineRule="exact"/>
        <w:ind w:firstLine="480" w:firstLineChars="200"/>
        <w:rPr>
          <w:rFonts w:hint="eastAsia"/>
          <w:lang w:val="en-US" w:eastAsia="zh-CN"/>
        </w:rPr>
      </w:pPr>
      <w:r>
        <w:rPr>
          <w:rFonts w:hint="eastAsia" w:ascii="宋体" w:hAnsi="宋体" w:eastAsia="宋体" w:cs="宋体"/>
          <w:color w:val="auto"/>
          <w:sz w:val="24"/>
          <w:szCs w:val="24"/>
          <w:highlight w:val="none"/>
          <w:lang w:val="en-US" w:eastAsia="zh-CN"/>
        </w:rPr>
        <w:t>污泥处置：污水处理站产生的污泥属于医疗废物，处置必须按医疗废物要求，交由有资质的回收单位处置。中标人需定期清理污水处理站和污水提升泵站的污泥，并做好清运记录，次日将记录交由采购人存档备案，污泥处理费用由中标人承担。</w:t>
      </w:r>
    </w:p>
    <w:p w14:paraId="6BED24BA">
      <w:pPr>
        <w:keepLines w:val="0"/>
        <w:pageBreakBefore w:val="0"/>
        <w:widowControl w:val="0"/>
        <w:numPr>
          <w:ilvl w:val="0"/>
          <w:numId w:val="1"/>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水质检测：</w:t>
      </w:r>
      <w:r>
        <w:rPr>
          <w:rFonts w:hint="eastAsia" w:ascii="宋体" w:hAnsi="宋体" w:eastAsia="宋体" w:cs="宋体"/>
          <w:sz w:val="24"/>
          <w:szCs w:val="24"/>
          <w:lang w:val="en-US" w:eastAsia="zh-CN"/>
        </w:rPr>
        <w:t>中标</w:t>
      </w:r>
      <w:r>
        <w:rPr>
          <w:rFonts w:hint="eastAsia" w:ascii="宋体" w:hAnsi="宋体" w:cs="宋体"/>
          <w:sz w:val="24"/>
          <w:szCs w:val="24"/>
        </w:rPr>
        <w:t>单位每月向</w:t>
      </w:r>
      <w:r>
        <w:rPr>
          <w:rFonts w:hint="eastAsia" w:ascii="宋体" w:hAnsi="宋体" w:cs="宋体"/>
          <w:sz w:val="24"/>
          <w:szCs w:val="24"/>
          <w:lang w:val="en-US" w:eastAsia="zh-CN"/>
        </w:rPr>
        <w:t>有资质的</w:t>
      </w:r>
      <w:r>
        <w:rPr>
          <w:rFonts w:hint="eastAsia" w:ascii="宋体" w:hAnsi="宋体" w:cs="宋体"/>
          <w:sz w:val="24"/>
          <w:szCs w:val="24"/>
        </w:rPr>
        <w:t>第三方检测机构送检污水站水样并取得</w:t>
      </w:r>
      <w:r>
        <w:rPr>
          <w:rFonts w:hint="eastAsia" w:ascii="宋体" w:hAnsi="宋体" w:cs="宋体"/>
          <w:sz w:val="24"/>
          <w:szCs w:val="24"/>
          <w:lang w:val="en-US" w:eastAsia="zh-CN"/>
        </w:rPr>
        <w:t>其出具的检测</w:t>
      </w:r>
      <w:r>
        <w:rPr>
          <w:rFonts w:hint="eastAsia" w:ascii="宋体" w:hAnsi="宋体" w:cs="宋体"/>
          <w:sz w:val="24"/>
          <w:szCs w:val="24"/>
        </w:rPr>
        <w:t>报告</w:t>
      </w:r>
      <w:r>
        <w:rPr>
          <w:rFonts w:hint="eastAsia" w:ascii="宋体" w:hAnsi="宋体" w:eastAsia="宋体" w:cs="宋体"/>
          <w:color w:val="auto"/>
          <w:sz w:val="24"/>
          <w:szCs w:val="24"/>
          <w:highlight w:val="none"/>
          <w:lang w:val="en-US" w:eastAsia="zh-CN"/>
        </w:rPr>
        <w:t>。</w:t>
      </w:r>
    </w:p>
    <w:p w14:paraId="61570843">
      <w:pPr>
        <w:keepLines w:val="0"/>
        <w:pageBreakBefore w:val="0"/>
        <w:widowControl w:val="0"/>
        <w:numPr>
          <w:ilvl w:val="0"/>
          <w:numId w:val="1"/>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污染源自动监控系统运维：</w:t>
      </w:r>
    </w:p>
    <w:p w14:paraId="646CBE43">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.1中标人需根据《污染源自动监控管理办法》、《污染源自动监控设施现场监督检查办法》等污染源自动监控相关要求，</w:t>
      </w:r>
      <w:r>
        <w:rPr>
          <w:rFonts w:hint="eastAsia" w:ascii="宋体" w:hAnsi="宋体" w:cs="宋体"/>
          <w:color w:val="auto"/>
          <w:sz w:val="24"/>
          <w:szCs w:val="24"/>
          <w:highlight w:val="none"/>
          <w:lang w:val="en-US" w:eastAsia="zh-CN"/>
        </w:rPr>
        <w:t>自行</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委派运维人员负责采购人污水处理站污染源自动监控系统运维，人员需持证上岗，具备相关专业知识</w:t>
      </w:r>
      <w:r>
        <w:rPr>
          <w:rFonts w:hint="eastAsia" w:ascii="宋体" w:hAnsi="宋体" w:cs="宋体"/>
          <w:color w:val="000000" w:themeColor="text1"/>
          <w:sz w:val="24"/>
          <w:szCs w:val="24"/>
          <w:highlight w:val="none"/>
          <w:lang w:val="en-US" w:eastAsia="zh-CN"/>
          <w14:textFill>
            <w14:solidFill>
              <w14:schemeClr w14:val="tx1"/>
            </w14:solidFill>
          </w14:textFill>
        </w:rPr>
        <w:t>）或</w:t>
      </w:r>
      <w:r>
        <w:rPr>
          <w:rFonts w:hint="eastAsia" w:ascii="宋体" w:hAnsi="宋体" w:eastAsia="宋体" w:cs="宋体"/>
          <w:color w:val="000000" w:themeColor="text1"/>
          <w:sz w:val="24"/>
          <w:szCs w:val="24"/>
          <w:highlight w:val="none"/>
          <w:lang w:val="en-US" w:eastAsia="zh-CN"/>
          <w14:textFill>
            <w14:solidFill>
              <w14:schemeClr w14:val="tx1"/>
            </w14:solidFill>
          </w14:textFill>
        </w:rPr>
        <w:t>与具有资质的第三方机构签订服务协议</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由第三方机构委派运维人员负责采购人污水处理站污染源自动监控系统运维，人员需持证上岗，具备相关专业知识</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34E7A405">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.2中标人</w:t>
      </w:r>
      <w:r>
        <w:rPr>
          <w:rFonts w:hint="eastAsia" w:ascii="宋体" w:hAnsi="宋体" w:cs="宋体"/>
          <w:color w:val="auto"/>
          <w:sz w:val="24"/>
          <w:szCs w:val="24"/>
          <w:highlight w:val="none"/>
          <w:lang w:val="en-US" w:eastAsia="zh-CN"/>
        </w:rPr>
        <w:t>自行或</w:t>
      </w:r>
      <w:r>
        <w:rPr>
          <w:rFonts w:hint="eastAsia" w:ascii="宋体" w:hAnsi="宋体" w:eastAsia="宋体" w:cs="宋体"/>
          <w:color w:val="auto"/>
          <w:sz w:val="24"/>
          <w:szCs w:val="24"/>
          <w:highlight w:val="none"/>
          <w:lang w:val="en-US" w:eastAsia="zh-CN"/>
        </w:rPr>
        <w:t>与第三方机构负责对自动监控设备进行维护检修、消耗品更换、备用整机，并做好站房卫生、设备配套、制度上墙。</w:t>
      </w:r>
    </w:p>
    <w:p w14:paraId="68E0F54B">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.3中标人</w:t>
      </w:r>
      <w:r>
        <w:rPr>
          <w:rFonts w:hint="eastAsia" w:ascii="宋体" w:hAnsi="宋体" w:cs="宋体"/>
          <w:color w:val="auto"/>
          <w:sz w:val="24"/>
          <w:szCs w:val="24"/>
          <w:highlight w:val="none"/>
          <w:lang w:val="en-US" w:eastAsia="zh-CN"/>
        </w:rPr>
        <w:t>自行或</w:t>
      </w:r>
      <w:r>
        <w:rPr>
          <w:rFonts w:hint="eastAsia" w:ascii="宋体" w:hAnsi="宋体" w:eastAsia="宋体" w:cs="宋体"/>
          <w:color w:val="auto"/>
          <w:sz w:val="24"/>
          <w:szCs w:val="24"/>
          <w:highlight w:val="none"/>
          <w:lang w:val="en-US" w:eastAsia="zh-CN"/>
        </w:rPr>
        <w:t>与第三方机构负责做好自动监控设备日常巡检，系统分析、校准校验、并做好对应工作台账，以及人员出入记录、数据网络填报等工作，保障污染源自动监测设备正常运行。</w:t>
      </w:r>
    </w:p>
    <w:p w14:paraId="07A4E5A2">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.4中标人</w:t>
      </w:r>
      <w:r>
        <w:rPr>
          <w:rFonts w:hint="eastAsia" w:ascii="宋体" w:hAnsi="宋体" w:cs="宋体"/>
          <w:color w:val="auto"/>
          <w:sz w:val="24"/>
          <w:szCs w:val="24"/>
          <w:highlight w:val="none"/>
          <w:lang w:val="en-US" w:eastAsia="zh-CN"/>
        </w:rPr>
        <w:t>自行或</w:t>
      </w:r>
      <w:r>
        <w:rPr>
          <w:rFonts w:hint="eastAsia" w:ascii="宋体" w:hAnsi="宋体" w:eastAsia="宋体" w:cs="宋体"/>
          <w:color w:val="auto"/>
          <w:sz w:val="24"/>
          <w:szCs w:val="24"/>
          <w:highlight w:val="none"/>
          <w:lang w:val="en-US" w:eastAsia="zh-CN"/>
        </w:rPr>
        <w:t>与第三方机构负责完成环保部门要求的其他相关工作。设施设备维保维修：中标人定期对污水处理站设备进行巡检，如污水处理站设施设备出现故障，由中标人采购维修中需要更换的设备、配件、材料。中标人必须保质保量、及时维修，确保正常运行，并建立维保记录，采购人需要查验时予以提供。</w:t>
      </w:r>
    </w:p>
    <w:p w14:paraId="344A4339">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、设施设备 （含中控系统）维保维修：中标人定期对污水处理站设备进行巡检，如污水处理站设施设备出现故障，由中标人负责自行采购维修中需要更换的设备、配件、材料等，相关费用由中标人承担。中标人必须保质保量、及时维修，确保正常运行，并建立维保记录，采购人需要查验时予以提供。</w:t>
      </w:r>
    </w:p>
    <w:p w14:paraId="595DB6BC">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、人员要求：</w:t>
      </w:r>
      <w:r>
        <w:rPr>
          <w:rFonts w:hint="eastAsia" w:ascii="宋体" w:hAnsi="宋体" w:eastAsia="宋体" w:cs="宋体"/>
          <w:color w:val="auto"/>
          <w:sz w:val="24"/>
          <w:szCs w:val="24"/>
          <w:highlight w:val="none"/>
        </w:rPr>
        <w:t>拟派</w:t>
      </w:r>
      <w:r>
        <w:rPr>
          <w:rFonts w:hint="eastAsia" w:ascii="宋体" w:hAnsi="宋体" w:eastAsia="宋体" w:cs="宋体"/>
          <w:color w:val="auto"/>
          <w:sz w:val="24"/>
          <w:szCs w:val="24"/>
          <w:highlight w:val="none"/>
          <w:lang w:val="en-US" w:eastAsia="zh-CN"/>
        </w:rPr>
        <w:t>驻</w:t>
      </w:r>
      <w:r>
        <w:rPr>
          <w:rFonts w:hint="eastAsia" w:ascii="宋体" w:hAnsi="宋体" w:eastAsia="宋体" w:cs="宋体"/>
          <w:color w:val="auto"/>
          <w:sz w:val="24"/>
          <w:szCs w:val="24"/>
          <w:highlight w:val="none"/>
        </w:rPr>
        <w:t>本项目的工作人员应与</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签订有正式的劳动合同，必须具有操作和维修本套污水处理设备的能力和专业知识。工作期间，统一着装、</w:t>
      </w:r>
      <w:r>
        <w:rPr>
          <w:rFonts w:hint="eastAsia" w:ascii="宋体" w:hAnsi="宋体" w:eastAsia="宋体" w:cs="宋体"/>
          <w:color w:val="auto"/>
          <w:sz w:val="24"/>
          <w:szCs w:val="24"/>
          <w:highlight w:val="none"/>
          <w:lang w:val="en-US" w:eastAsia="zh-CN"/>
        </w:rPr>
        <w:t>佩戴工牌</w:t>
      </w:r>
      <w:r>
        <w:rPr>
          <w:rFonts w:hint="eastAsia" w:ascii="宋体" w:hAnsi="宋体" w:eastAsia="宋体" w:cs="宋体"/>
          <w:color w:val="auto"/>
          <w:sz w:val="24"/>
          <w:szCs w:val="24"/>
          <w:highlight w:val="none"/>
        </w:rPr>
        <w:t>，举止文明。配备安全帽、安全带、工作手套等劳保用品，以及常用维修工具。</w:t>
      </w:r>
      <w:r>
        <w:rPr>
          <w:rFonts w:hint="eastAsia" w:ascii="宋体" w:hAnsi="宋体" w:eastAsia="宋体" w:cs="宋体"/>
          <w:b/>
          <w:bCs/>
          <w:color w:val="auto"/>
          <w:sz w:val="24"/>
          <w:szCs w:val="24"/>
          <w:highlight w:val="none"/>
          <w:u w:val="single"/>
          <w:lang w:eastAsia="zh-CN"/>
        </w:rPr>
        <w:t>中标人</w:t>
      </w:r>
      <w:r>
        <w:rPr>
          <w:rFonts w:hint="eastAsia" w:ascii="宋体" w:hAnsi="宋体" w:eastAsia="宋体" w:cs="宋体"/>
          <w:b/>
          <w:bCs/>
          <w:color w:val="auto"/>
          <w:sz w:val="24"/>
          <w:szCs w:val="24"/>
          <w:highlight w:val="none"/>
          <w:u w:val="single"/>
          <w:lang w:val="en-US" w:eastAsia="zh-CN"/>
        </w:rPr>
        <w:t>100</w:t>
      </w:r>
      <w:r>
        <w:rPr>
          <w:rFonts w:hint="eastAsia" w:ascii="宋体" w:hAnsi="宋体" w:eastAsia="宋体" w:cs="宋体"/>
          <w:b/>
          <w:bCs/>
          <w:color w:val="auto"/>
          <w:sz w:val="24"/>
          <w:szCs w:val="24"/>
          <w:highlight w:val="none"/>
          <w:u w:val="single"/>
        </w:rPr>
        <w:t>％人员年龄不得高于60岁</w:t>
      </w:r>
      <w:r>
        <w:rPr>
          <w:rFonts w:hint="eastAsia" w:ascii="宋体" w:hAnsi="宋体" w:eastAsia="宋体" w:cs="宋体"/>
          <w:b/>
          <w:bCs/>
          <w:color w:val="auto"/>
          <w:sz w:val="24"/>
          <w:szCs w:val="24"/>
          <w:highlight w:val="none"/>
          <w:u w:val="single"/>
          <w:lang w:val="en-US" w:eastAsia="zh-CN"/>
        </w:rPr>
        <w:t>,80%人员平均年龄应小于50岁</w:t>
      </w:r>
      <w:r>
        <w:rPr>
          <w:rFonts w:hint="eastAsia" w:ascii="宋体" w:hAnsi="宋体" w:eastAsia="宋体" w:cs="宋体"/>
          <w:b/>
          <w:bCs/>
          <w:color w:val="auto"/>
          <w:sz w:val="24"/>
          <w:szCs w:val="24"/>
          <w:highlight w:val="none"/>
          <w:u w:val="single"/>
        </w:rPr>
        <w:t>。</w:t>
      </w:r>
      <w:r>
        <w:rPr>
          <w:rFonts w:hint="eastAsia" w:ascii="宋体" w:hAnsi="宋体" w:eastAsia="宋体" w:cs="宋体"/>
          <w:color w:val="auto"/>
          <w:sz w:val="24"/>
          <w:szCs w:val="24"/>
          <w:highlight w:val="none"/>
        </w:rPr>
        <w:t>本项目拟派的所有人员在合同期内不得更换。因客观原因必须更换的，则在更换之前必须得到</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书面同意。</w:t>
      </w:r>
    </w:p>
    <w:p w14:paraId="5218A5E4">
      <w:pPr>
        <w:keepLines w:val="0"/>
        <w:pageBreakBefore w:val="0"/>
        <w:widowControl w:val="0"/>
        <w:numPr>
          <w:ilvl w:val="0"/>
          <w:numId w:val="0"/>
        </w:numPr>
        <w:kinsoku/>
        <w:wordWrap/>
        <w:overflowPunct/>
        <w:topLinePunct w:val="0"/>
        <w:autoSpaceDE/>
        <w:autoSpaceDN/>
        <w:bidi w:val="0"/>
        <w:snapToGrid/>
        <w:spacing w:line="480" w:lineRule="exact"/>
        <w:ind w:firstLine="482" w:firstLineChars="200"/>
        <w:textAlignment w:val="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最低人员配置：</w:t>
      </w:r>
    </w:p>
    <w:p w14:paraId="05085845">
      <w:pPr>
        <w:keepLines w:val="0"/>
        <w:pageBreakBefore w:val="0"/>
        <w:widowControl w:val="0"/>
        <w:numPr>
          <w:ilvl w:val="0"/>
          <w:numId w:val="0"/>
        </w:numPr>
        <w:kinsoku/>
        <w:wordWrap/>
        <w:overflowPunct/>
        <w:topLinePunct w:val="0"/>
        <w:autoSpaceDE/>
        <w:autoSpaceDN/>
        <w:bidi w:val="0"/>
        <w:snapToGrid/>
        <w:spacing w:line="480" w:lineRule="exact"/>
        <w:ind w:firstLine="482" w:firstLineChars="200"/>
        <w:textAlignment w:val="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①操作技术员：</w:t>
      </w:r>
      <w:r>
        <w:rPr>
          <w:rFonts w:hint="eastAsia" w:ascii="宋体" w:hAnsi="宋体" w:cs="宋体"/>
          <w:b/>
          <w:bCs/>
          <w:color w:val="auto"/>
          <w:sz w:val="24"/>
          <w:szCs w:val="24"/>
          <w:highlight w:val="none"/>
          <w:u w:val="single"/>
          <w:lang w:val="en-US" w:eastAsia="zh-CN"/>
        </w:rPr>
        <w:t>1人次</w:t>
      </w:r>
      <w:r>
        <w:rPr>
          <w:rFonts w:hint="eastAsia" w:ascii="宋体" w:hAnsi="宋体" w:eastAsia="宋体" w:cs="宋体"/>
          <w:b/>
          <w:bCs/>
          <w:color w:val="auto"/>
          <w:sz w:val="24"/>
          <w:szCs w:val="24"/>
          <w:highlight w:val="none"/>
          <w:u w:val="single"/>
        </w:rPr>
        <w:t>（负责所有设施设备的正常运转工作，解决出现的技术工艺问题；做好设施设备的具体巡查检修及保养工作，有基础的水电知识；兼职数据记录及资料整理等；采用倒班制度，确保365天有人值班）</w:t>
      </w:r>
      <w:r>
        <w:rPr>
          <w:rFonts w:hint="eastAsia" w:ascii="宋体" w:hAnsi="宋体" w:cs="宋体"/>
          <w:b/>
          <w:bCs/>
          <w:color w:val="auto"/>
          <w:sz w:val="24"/>
          <w:szCs w:val="24"/>
          <w:highlight w:val="none"/>
          <w:u w:val="single"/>
          <w:lang w:eastAsia="zh-CN"/>
        </w:rPr>
        <w:t>，</w:t>
      </w:r>
      <w:r>
        <w:rPr>
          <w:rFonts w:hint="eastAsia" w:ascii="宋体" w:hAnsi="宋体" w:cs="宋体"/>
          <w:b/>
          <w:bCs/>
          <w:color w:val="auto"/>
          <w:sz w:val="24"/>
          <w:szCs w:val="24"/>
          <w:highlight w:val="none"/>
          <w:u w:val="single"/>
          <w:lang w:val="en-US" w:eastAsia="zh-CN"/>
        </w:rPr>
        <w:t>工作时间：8：00-17:30。</w:t>
      </w:r>
    </w:p>
    <w:p w14:paraId="06D9D83D">
      <w:pPr>
        <w:spacing w:line="440" w:lineRule="exact"/>
        <w:ind w:firstLine="520" w:firstLineChars="200"/>
        <w:rPr>
          <w:rFonts w:hint="eastAsia" w:ascii="宋体" w:hAnsi="宋体" w:cs="宋体"/>
          <w:spacing w:val="10"/>
          <w:kern w:val="0"/>
          <w:sz w:val="24"/>
          <w:szCs w:val="24"/>
          <w:lang w:val="en-US" w:eastAsia="zh-CN"/>
        </w:rPr>
      </w:pPr>
      <w:r>
        <w:rPr>
          <w:rFonts w:hint="eastAsia" w:ascii="宋体" w:hAnsi="宋体" w:cs="宋体"/>
          <w:spacing w:val="10"/>
          <w:kern w:val="0"/>
          <w:sz w:val="24"/>
          <w:szCs w:val="24"/>
          <w:lang w:val="en-US" w:eastAsia="zh-CN"/>
        </w:rPr>
        <w:t>②受托单位必须配合采购人的各类检查迎检工作，做好相关台账;</w:t>
      </w:r>
    </w:p>
    <w:p w14:paraId="589B2E6E">
      <w:pPr>
        <w:spacing w:line="440" w:lineRule="exact"/>
        <w:ind w:firstLine="520" w:firstLineChars="200"/>
        <w:rPr>
          <w:rFonts w:ascii="宋体" w:hAnsi="宋体" w:cs="宋体"/>
          <w:spacing w:val="10"/>
          <w:kern w:val="0"/>
          <w:sz w:val="24"/>
          <w:szCs w:val="24"/>
        </w:rPr>
      </w:pPr>
      <w:r>
        <w:rPr>
          <w:rFonts w:hint="eastAsia" w:ascii="宋体" w:hAnsi="宋体" w:cs="宋体"/>
          <w:spacing w:val="10"/>
          <w:kern w:val="0"/>
          <w:sz w:val="24"/>
          <w:szCs w:val="24"/>
          <w:lang w:val="en-US" w:eastAsia="zh-CN"/>
        </w:rPr>
        <w:t>③</w:t>
      </w:r>
      <w:r>
        <w:rPr>
          <w:rFonts w:hint="eastAsia" w:ascii="宋体" w:hAnsi="宋体" w:cs="宋体"/>
          <w:spacing w:val="10"/>
          <w:kern w:val="0"/>
          <w:sz w:val="24"/>
          <w:szCs w:val="24"/>
        </w:rPr>
        <w:t>所有服务方式均由受托方派技术人员到用户使用现场维修维护管理；</w:t>
      </w:r>
    </w:p>
    <w:p w14:paraId="7617A9BD">
      <w:pPr>
        <w:spacing w:line="440" w:lineRule="exact"/>
        <w:ind w:firstLine="520" w:firstLineChars="200"/>
        <w:rPr>
          <w:rFonts w:ascii="宋体" w:hAnsi="宋体" w:cs="宋体"/>
          <w:spacing w:val="10"/>
          <w:kern w:val="0"/>
          <w:sz w:val="24"/>
          <w:szCs w:val="24"/>
        </w:rPr>
      </w:pPr>
      <w:r>
        <w:rPr>
          <w:rFonts w:hint="eastAsia" w:ascii="宋体" w:hAnsi="宋体" w:cs="宋体"/>
          <w:spacing w:val="10"/>
          <w:kern w:val="0"/>
          <w:sz w:val="24"/>
          <w:szCs w:val="24"/>
          <w:lang w:val="en-US" w:eastAsia="zh-CN"/>
        </w:rPr>
        <w:t>④</w:t>
      </w:r>
      <w:r>
        <w:rPr>
          <w:rFonts w:hint="eastAsia" w:ascii="宋体" w:hAnsi="宋体" w:cs="宋体"/>
          <w:spacing w:val="10"/>
          <w:kern w:val="0"/>
          <w:sz w:val="24"/>
          <w:szCs w:val="24"/>
        </w:rPr>
        <w:t>设备发生故障报告后，在2小时内排除故障；</w:t>
      </w:r>
    </w:p>
    <w:p w14:paraId="4B069408">
      <w:pPr>
        <w:spacing w:line="440" w:lineRule="exact"/>
        <w:ind w:firstLine="520" w:firstLineChars="200"/>
        <w:rPr>
          <w:rFonts w:ascii="宋体" w:hAnsi="宋体" w:cs="宋体"/>
          <w:spacing w:val="10"/>
          <w:kern w:val="0"/>
          <w:sz w:val="24"/>
          <w:szCs w:val="24"/>
        </w:rPr>
      </w:pPr>
      <w:r>
        <w:rPr>
          <w:rFonts w:hint="eastAsia" w:ascii="宋体" w:hAnsi="宋体" w:cs="宋体"/>
          <w:spacing w:val="10"/>
          <w:kern w:val="0"/>
          <w:sz w:val="24"/>
          <w:szCs w:val="24"/>
          <w:lang w:val="en-US" w:eastAsia="zh-CN"/>
        </w:rPr>
        <w:t>⑤</w:t>
      </w:r>
      <w:r>
        <w:rPr>
          <w:rFonts w:hint="eastAsia" w:ascii="宋体" w:hAnsi="宋体" w:cs="宋体"/>
          <w:spacing w:val="10"/>
          <w:kern w:val="0"/>
          <w:sz w:val="24"/>
          <w:szCs w:val="24"/>
        </w:rPr>
        <w:t>采购人每月进行考核评价，考核结果与付款挂钩。</w:t>
      </w:r>
    </w:p>
    <w:p w14:paraId="14A2EEED">
      <w:pPr>
        <w:keepLines w:val="0"/>
        <w:pageBreakBefore w:val="0"/>
        <w:widowControl w:val="0"/>
        <w:numPr>
          <w:ilvl w:val="0"/>
          <w:numId w:val="0"/>
        </w:numPr>
        <w:kinsoku/>
        <w:wordWrap/>
        <w:overflowPunct/>
        <w:topLinePunct w:val="0"/>
        <w:autoSpaceDE/>
        <w:autoSpaceDN/>
        <w:bidi w:val="0"/>
        <w:snapToGrid/>
        <w:spacing w:line="480" w:lineRule="exact"/>
        <w:ind w:left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、管理制度要求：</w:t>
      </w:r>
    </w:p>
    <w:p w14:paraId="280C75B8">
      <w:pPr>
        <w:keepLines w:val="0"/>
        <w:pageBreakBefore w:val="0"/>
        <w:widowControl w:val="0"/>
        <w:numPr>
          <w:ilvl w:val="0"/>
          <w:numId w:val="0"/>
        </w:numPr>
        <w:kinsoku/>
        <w:wordWrap/>
        <w:overflowPunct/>
        <w:topLinePunct w:val="0"/>
        <w:autoSpaceDE/>
        <w:autoSpaceDN/>
        <w:bidi w:val="0"/>
        <w:snapToGrid/>
        <w:spacing w:line="480" w:lineRule="exact"/>
        <w:ind w:left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中标人必须制定并提交完善的管理制度，包含但不限于以下制度</w:t>
      </w:r>
    </w:p>
    <w:p w14:paraId="33CCD86F">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（1）人员岗位制度； </w:t>
      </w:r>
    </w:p>
    <w:p w14:paraId="337227B2">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（2）设备运行管理制度； </w:t>
      </w:r>
    </w:p>
    <w:p w14:paraId="3EF1EF01">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（3）消耗品管理制度； </w:t>
      </w:r>
    </w:p>
    <w:p w14:paraId="7AC87A07">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（4）能耗管理制度； </w:t>
      </w:r>
    </w:p>
    <w:p w14:paraId="787F80BD">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（5）安全运行管理制度； </w:t>
      </w:r>
    </w:p>
    <w:p w14:paraId="7857E9D0">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（6）突发事件应急管理制度； </w:t>
      </w:r>
    </w:p>
    <w:p w14:paraId="128BBC31">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（7）设施设备日常保养计划； </w:t>
      </w:r>
    </w:p>
    <w:p w14:paraId="0393101F">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（8）设施设备日常维修方案；</w:t>
      </w:r>
    </w:p>
    <w:p w14:paraId="25416617">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（9）污水处理站工作管理制度 </w:t>
      </w:r>
    </w:p>
    <w:p w14:paraId="7C479A81">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采购人有权在项目实施过程中根据项目进展情况要求中标人根据实际情况对上述制度方案进行修正。</w:t>
      </w:r>
    </w:p>
    <w:p w14:paraId="5E33D724">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 xml:space="preserve">、运维服务要求： </w:t>
      </w:r>
    </w:p>
    <w:p w14:paraId="43A87D1E">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 xml:space="preserve">.1 巡检要求：（1）巡检、点检、维护、水处理过程中发现问题时，指派专人负责，及时解决。发现问题时第一时间向采购人主管部门报告并及时跟踪处理，直到设备正常为止。（2）除规定的点检外，每2小时对各系统进行一次巡查。每次巡检结果应及时完整记录、存档、备查。 </w:t>
      </w:r>
      <w:bookmarkStart w:id="3" w:name="_GoBack"/>
      <w:bookmarkEnd w:id="3"/>
    </w:p>
    <w:p w14:paraId="484D5B14">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.2 定期检修保养要求：一般情况下，按照设备使用说明，制定检修保养计划，按计划对设备进行检修保养，并提供详细的保养记录。日常对设施设备进行擦拭保养。</w:t>
      </w:r>
    </w:p>
    <w:p w14:paraId="516952C5">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.3 取样分析：应每天采样分析水样2次（特殊情况如遇上级部门要求应增加次数），每次采取污水处理进出水各一份，采样要求及时、认真如实记录，并对采集的水样进行检测。</w:t>
      </w:r>
    </w:p>
    <w:p w14:paraId="38014E0C">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.4 台账记录及数据上报要求</w:t>
      </w:r>
      <w:r>
        <w:rPr>
          <w:rFonts w:hint="eastAsia" w:ascii="宋体" w:hAnsi="宋体" w:eastAsia="宋体" w:cs="宋体"/>
          <w:color w:val="000000" w:themeColor="text1"/>
          <w:sz w:val="24"/>
          <w:szCs w:val="24"/>
          <w:highlight w:val="none"/>
          <w:lang w:val="en-US" w:eastAsia="zh-CN"/>
          <w14:textFill>
            <w14:solidFill>
              <w14:schemeClr w14:val="tx1"/>
            </w14:solidFill>
          </w14:textFill>
        </w:rPr>
        <w:t>：中标人每日需按照《排污许可证申请与核发技术规范 医疗机构》附表内容建立日常台账。</w:t>
      </w:r>
      <w:r>
        <w:rPr>
          <w:rFonts w:hint="eastAsia" w:ascii="宋体" w:hAnsi="宋体" w:eastAsia="宋体" w:cs="宋体"/>
          <w:color w:val="auto"/>
          <w:sz w:val="24"/>
          <w:szCs w:val="24"/>
          <w:highlight w:val="none"/>
          <w:lang w:val="en-US" w:eastAsia="zh-CN"/>
        </w:rPr>
        <w:t>供应商应对维保设备建立日常维修档案，便于日常管理和设备故障分析。</w:t>
      </w:r>
    </w:p>
    <w:p w14:paraId="44A79378">
      <w:pPr>
        <w:keepLines w:val="0"/>
        <w:pageBreakBefore w:val="0"/>
        <w:widowControl w:val="0"/>
        <w:numPr>
          <w:ilvl w:val="0"/>
          <w:numId w:val="0"/>
        </w:numPr>
        <w:kinsoku/>
        <w:wordWrap/>
        <w:overflowPunct/>
        <w:topLinePunct w:val="0"/>
        <w:autoSpaceDE/>
        <w:autoSpaceDN/>
        <w:bidi w:val="0"/>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.5 中标人须做好巡检记录、投药记录、耗材记录等运维相关记录，并在次月5日前提交至采购人管理部门。</w:t>
      </w:r>
    </w:p>
    <w:p w14:paraId="6040A908">
      <w:pPr>
        <w:pStyle w:val="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附件：工艺流程图</w:t>
      </w:r>
    </w:p>
    <w:p w14:paraId="0BAF6AA1">
      <w:pPr>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b w:val="0"/>
          <w:bCs w:val="0"/>
          <w:color w:val="auto"/>
          <w:sz w:val="24"/>
          <w:szCs w:val="24"/>
          <w:highlight w:val="none"/>
          <w:lang w:val="en-US" w:eastAsia="zh-CN"/>
        </w:rPr>
      </w:pPr>
    </w:p>
    <w:p w14:paraId="6611AE1B">
      <w:pPr>
        <w:pStyle w:val="3"/>
        <w:keepLines w:val="0"/>
        <w:pageBreakBefore w:val="0"/>
        <w:widowControl w:val="0"/>
        <w:kinsoku/>
        <w:wordWrap/>
        <w:overflowPunct/>
        <w:topLinePunct w:val="0"/>
        <w:autoSpaceDE/>
        <w:autoSpaceDN/>
        <w:bidi w:val="0"/>
        <w:snapToGrid/>
        <w:spacing w:line="480" w:lineRule="exact"/>
        <w:textAlignment w:val="auto"/>
        <w:rPr>
          <w:rFonts w:hint="eastAsia" w:ascii="宋体" w:hAnsi="宋体" w:eastAsia="宋体" w:cs="宋体"/>
          <w:color w:val="auto"/>
          <w:sz w:val="24"/>
          <w:szCs w:val="24"/>
          <w:highlight w:val="none"/>
          <w:lang w:eastAsia="zh-CN"/>
        </w:rPr>
      </w:pPr>
    </w:p>
    <w:p w14:paraId="0BF0B42C">
      <w:pPr>
        <w:keepLines w:val="0"/>
        <w:pageBreakBefore w:val="0"/>
        <w:widowControl w:val="0"/>
        <w:kinsoku/>
        <w:wordWrap/>
        <w:overflowPunct/>
        <w:topLinePunct w:val="0"/>
        <w:autoSpaceDE/>
        <w:autoSpaceDN/>
        <w:bidi w:val="0"/>
        <w:adjustRightInd/>
        <w:snapToGrid/>
        <w:spacing w:line="480" w:lineRule="exact"/>
        <w:ind w:right="40" w:firstLine="0"/>
        <w:textAlignment w:val="auto"/>
        <w:rPr>
          <w:rFonts w:hint="eastAsia" w:ascii="宋体" w:hAnsi="宋体" w:eastAsia="宋体" w:cs="宋体"/>
          <w:b w:val="0"/>
          <w:color w:val="auto"/>
          <w:sz w:val="24"/>
          <w:szCs w:val="24"/>
          <w:highlight w:val="none"/>
          <w:lang w:val="en-US" w:eastAsia="zh-CN"/>
        </w:rPr>
      </w:pPr>
    </w:p>
    <w:p w14:paraId="206773C6">
      <w:r>
        <w:drawing>
          <wp:inline distT="0" distB="0" distL="114300" distR="114300">
            <wp:extent cx="7391400" cy="4376420"/>
            <wp:effectExtent l="0" t="0" r="508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stretch>
                      <a:fillRect/>
                    </a:stretch>
                  </pic:blipFill>
                  <pic:spPr>
                    <a:xfrm rot="5400000">
                      <a:off x="0" y="0"/>
                      <a:ext cx="7391400" cy="437642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angSong_GB2312">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6D0D2">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83F3AA">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2383F3AA">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ECF86A"/>
    <w:multiLevelType w:val="singleLevel"/>
    <w:tmpl w:val="27ECF86A"/>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D563F2"/>
    <w:rsid w:val="158F5928"/>
    <w:rsid w:val="2BD563F2"/>
    <w:rsid w:val="406B6373"/>
    <w:rsid w:val="536F60F4"/>
    <w:rsid w:val="598B38A6"/>
    <w:rsid w:val="5E2E0A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outlineLvl w:val="0"/>
    </w:pPr>
    <w:rPr>
      <w:rFonts w:ascii="宋体"/>
      <w:sz w:val="28"/>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Body Text Indent"/>
    <w:basedOn w:val="1"/>
    <w:qFormat/>
    <w:uiPriority w:val="0"/>
    <w:pPr>
      <w:spacing w:after="120"/>
      <w:ind w:left="420" w:leftChars="200"/>
    </w:pPr>
  </w:style>
  <w:style w:type="paragraph" w:styleId="5">
    <w:name w:val="footer"/>
    <w:basedOn w:val="1"/>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7">
    <w:name w:val="toc 1"/>
    <w:basedOn w:val="1"/>
    <w:next w:val="1"/>
    <w:qFormat/>
    <w:uiPriority w:val="39"/>
    <w:pPr>
      <w:tabs>
        <w:tab w:val="left" w:pos="840"/>
        <w:tab w:val="right" w:leader="dot" w:pos="9629"/>
      </w:tabs>
    </w:pPr>
    <w:rPr>
      <w:rFonts w:ascii="FangSong_GB2312" w:eastAsia="FangSong_GB2312"/>
    </w:rPr>
  </w:style>
  <w:style w:type="character" w:styleId="10">
    <w:name w:val="page number"/>
    <w:basedOn w:val="9"/>
    <w:qFormat/>
    <w:uiPriority w:val="0"/>
  </w:style>
  <w:style w:type="paragraph" w:styleId="11">
    <w:name w:val="List Paragraph"/>
    <w:basedOn w:val="1"/>
    <w:qFormat/>
    <w:uiPriority w:val="34"/>
    <w:pPr>
      <w:ind w:firstLine="420" w:firstLineChars="200"/>
    </w:pPr>
    <w:rPr>
      <w:szCs w:val="24"/>
    </w:rPr>
  </w:style>
  <w:style w:type="paragraph" w:customStyle="1" w:styleId="12">
    <w:name w:val="_Style 3"/>
    <w:basedOn w:val="1"/>
    <w:next w:val="7"/>
    <w:qFormat/>
    <w:uiPriority w:val="99"/>
    <w:pPr>
      <w:ind w:left="360" w:firstLine="56" w:firstLineChars="20"/>
    </w:pPr>
    <w:rPr>
      <w:rFonts w:ascii="Calibri" w:hAnsi="Calibri" w:cs="Calibri" w:eastAsiaTheme="minorEastAsia"/>
      <w:sz w:val="28"/>
      <w:szCs w:val="28"/>
    </w:rPr>
  </w:style>
  <w:style w:type="paragraph" w:customStyle="1" w:styleId="13">
    <w:name w:val="表格"/>
    <w:basedOn w:val="1"/>
    <w:qFormat/>
    <w:uiPriority w:val="0"/>
    <w:pPr>
      <w:ind w:firstLine="0" w:firstLineChars="0"/>
      <w:jc w:val="center"/>
    </w:pPr>
    <w:rPr>
      <w:color w:val="000000"/>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8555</Words>
  <Characters>9755</Characters>
  <Lines>0</Lines>
  <Paragraphs>0</Paragraphs>
  <TotalTime>32</TotalTime>
  <ScaleCrop>false</ScaleCrop>
  <LinksUpToDate>false</LinksUpToDate>
  <CharactersWithSpaces>9802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2025-05-07T12:25:00Z</dcterms:created>
  <dc:creator>Z_</dc:creator>
  <cp:lastModifiedBy>Z_</cp:lastModifiedBy>
  <cp:lastPrinted>2025-05-12T02:38:21Z</cp:lastPrinted>
  <dcterms:modified xsi:type="dcterms:W3CDTF">2025-05-12T02:55:46Z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D83F054D86F846FCA5BA55D820EB7558_11</vt:lpwstr>
  </property>
  <property fmtid="{D5CDD505-2E9C-101B-9397-08002B2CF9AE}" pid="4" name="KSOTemplateDocerSaveRecord">
    <vt:lpwstr>eyJoZGlkIjoiNTFjMjdmZTNlNmQ1ZGVlODYyMWRkODVlYzU1MGEyYmYiLCJ1c2VySWQiOiIzMTQzODI2MzUifQ==</vt:lpwstr>
  </property>
</Properties>
</file>