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61F2B">
      <w:pPr>
        <w:pStyle w:val="4"/>
        <w:rPr>
          <w:rFonts w:hint="default" w:eastAsiaTheme="minorEastAsia"/>
          <w:lang w:val="en-US" w:eastAsia="zh-CN"/>
        </w:rPr>
      </w:pPr>
      <w:r>
        <w:rPr>
          <w:rFonts w:hint="eastAsia"/>
          <w:lang w:val="en-US" w:eastAsia="zh-CN"/>
        </w:rPr>
        <w:t>液相色谱串联质谱仪调研参数</w:t>
      </w:r>
    </w:p>
    <w:p w14:paraId="2FE4CEA7">
      <w:pPr>
        <w:pStyle w:val="4"/>
        <w:rPr>
          <w:rFonts w:hint="eastAsia"/>
        </w:rPr>
      </w:pPr>
      <w:r>
        <w:rPr>
          <w:rFonts w:hint="eastAsia"/>
        </w:rPr>
        <w:t>一、功能需求</w:t>
      </w:r>
    </w:p>
    <w:p w14:paraId="6461824E">
      <w:pPr>
        <w:numPr>
          <w:ilvl w:val="0"/>
          <w:numId w:val="1"/>
        </w:numPr>
        <w:spacing w:line="360" w:lineRule="auto"/>
        <w:rPr>
          <w:rFonts w:hAnsi="Arial"/>
          <w:sz w:val="24"/>
        </w:rPr>
      </w:pPr>
      <w:r>
        <w:rPr>
          <w:rFonts w:hint="eastAsia" w:hAnsi="Arial"/>
          <w:sz w:val="24"/>
        </w:rPr>
        <w:t>检测需求：可开展脂溶性维生素（ADEK），维生素D，类固醇激素（至少含五项类固醇激素检测），儿茶酚胺（血液、尿液中儿茶酚胺检测），药物浓度监测等，可提供二类注册证和说明书等佐证材料；</w:t>
      </w:r>
    </w:p>
    <w:p w14:paraId="429221EB">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设备组成：由三重四极杆质谱仪、高效液相色谱仪、主机、显示器以及相关软件组成，其中主机、显示器均具备医疗器械资质要求。（具备二类医疗器械注册证资质，可提供注册证等证明文件）</w:t>
      </w:r>
    </w:p>
    <w:p w14:paraId="2380F09A">
      <w:pPr>
        <w:numPr>
          <w:ilvl w:val="0"/>
          <w:numId w:val="1"/>
        </w:numPr>
        <w:spacing w:line="360" w:lineRule="auto"/>
        <w:rPr>
          <w:color w:val="000000" w:themeColor="text1"/>
          <w:sz w:val="24"/>
          <w14:textFill>
            <w14:solidFill>
              <w14:schemeClr w14:val="tx1"/>
            </w14:solidFill>
          </w14:textFill>
        </w:rPr>
      </w:pPr>
      <w:r>
        <w:rPr>
          <w:rFonts w:hint="eastAsia" w:hAnsi="Arial"/>
          <w:color w:val="000000" w:themeColor="text1"/>
          <w:sz w:val="24"/>
          <w14:textFill>
            <w14:solidFill>
              <w14:schemeClr w14:val="tx1"/>
            </w14:solidFill>
          </w14:textFill>
        </w:rPr>
        <w:t>检测要求：可用于</w:t>
      </w:r>
      <w:r>
        <w:rPr>
          <w:color w:val="000000" w:themeColor="text1"/>
          <w:sz w:val="24"/>
          <w14:textFill>
            <w14:solidFill>
              <w14:schemeClr w14:val="tx1"/>
            </w14:solidFill>
          </w14:textFill>
        </w:rPr>
        <w:t>人体血液样本中的无机或有机化合物进行定性或定量检测，包</w:t>
      </w:r>
      <w:r>
        <w:rPr>
          <w:rFonts w:hint="eastAsia"/>
          <w:color w:val="000000" w:themeColor="text1"/>
          <w:sz w:val="24"/>
          <w14:textFill>
            <w14:solidFill>
              <w14:schemeClr w14:val="tx1"/>
            </w14:solidFill>
          </w14:textFill>
        </w:rPr>
        <w:t>含有</w:t>
      </w:r>
      <w:r>
        <w:rPr>
          <w:color w:val="000000" w:themeColor="text1"/>
          <w:sz w:val="24"/>
          <w14:textFill>
            <w14:solidFill>
              <w14:schemeClr w14:val="tx1"/>
            </w14:solidFill>
          </w14:textFill>
        </w:rPr>
        <w:t>诊断指示物（内源性物质：氨基酸、维生素、激素）和治疗监控化合物（外源性物质：治疗/毒性药物）</w:t>
      </w:r>
      <w:r>
        <w:rPr>
          <w:rFonts w:hint="eastAsia"/>
          <w:color w:val="000000" w:themeColor="text1"/>
          <w:sz w:val="24"/>
          <w14:textFill>
            <w14:solidFill>
              <w14:schemeClr w14:val="tx1"/>
            </w14:solidFill>
          </w14:textFill>
        </w:rPr>
        <w:t>，并提供佐证材料。（可提供注册证等证明文件）</w:t>
      </w:r>
    </w:p>
    <w:p w14:paraId="1255EE85">
      <w:pPr>
        <w:numPr>
          <w:ilvl w:val="0"/>
          <w:numId w:val="1"/>
        </w:numPr>
        <w:spacing w:line="360" w:lineRule="auto"/>
        <w:rPr>
          <w:rFonts w:hint="eastAsia" w:hAnsi="Arial"/>
          <w:color w:val="000000" w:themeColor="text1"/>
          <w:sz w:val="24"/>
          <w14:textFill>
            <w14:solidFill>
              <w14:schemeClr w14:val="tx1"/>
            </w14:solidFill>
          </w14:textFill>
        </w:rPr>
      </w:pPr>
      <w:r>
        <w:rPr>
          <w:rFonts w:hAnsi="Arial"/>
          <w:color w:val="000000" w:themeColor="text1"/>
          <w:sz w:val="24"/>
          <w14:textFill>
            <w14:solidFill>
              <w14:schemeClr w14:val="tx1"/>
            </w14:solidFill>
          </w14:textFill>
        </w:rPr>
        <w:t>气体需求：</w:t>
      </w:r>
      <w:r>
        <w:rPr>
          <w:rFonts w:hint="eastAsia"/>
          <w:color w:val="000000" w:themeColor="text1"/>
          <w:sz w:val="24"/>
          <w14:textFill>
            <w14:solidFill>
              <w14:schemeClr w14:val="tx1"/>
            </w14:solidFill>
          </w14:textFill>
        </w:rPr>
        <w:t>雾化气</w:t>
      </w:r>
      <w:r>
        <w:rPr>
          <w:color w:val="000000" w:themeColor="text1"/>
          <w:sz w:val="24"/>
          <w14:textFill>
            <w14:solidFill>
              <w14:schemeClr w14:val="tx1"/>
            </w14:solidFill>
          </w14:textFill>
        </w:rPr>
        <w:t>N</w:t>
      </w:r>
      <w:r>
        <w:rPr>
          <w:color w:val="000000" w:themeColor="text1"/>
          <w:sz w:val="24"/>
          <w:vertAlign w:val="subscript"/>
          <w14:textFill>
            <w14:solidFill>
              <w14:schemeClr w14:val="tx1"/>
            </w14:solidFill>
          </w14:textFill>
        </w:rPr>
        <w:t>2</w:t>
      </w:r>
      <w:r>
        <w:rPr>
          <w:rFonts w:hint="eastAsia"/>
          <w:color w:val="000000" w:themeColor="text1"/>
          <w:sz w:val="24"/>
          <w:vertAlign w:val="subscript"/>
          <w14:textFill>
            <w14:solidFill>
              <w14:schemeClr w14:val="tx1"/>
            </w14:solidFill>
          </w14:textFill>
        </w:rPr>
        <w:t>，</w:t>
      </w:r>
      <w:r>
        <w:rPr>
          <w:rFonts w:hAnsi="Arial"/>
          <w:color w:val="000000" w:themeColor="text1"/>
          <w:sz w:val="24"/>
          <w14:textFill>
            <w14:solidFill>
              <w14:schemeClr w14:val="tx1"/>
            </w14:solidFill>
          </w14:textFill>
        </w:rPr>
        <w:t>纯（</w:t>
      </w:r>
      <w:r>
        <w:rPr>
          <w:color w:val="000000" w:themeColor="text1"/>
          <w:sz w:val="24"/>
          <w14:textFill>
            <w14:solidFill>
              <w14:schemeClr w14:val="tx1"/>
            </w14:solidFill>
          </w14:textFill>
        </w:rPr>
        <w:t>99%</w:t>
      </w:r>
      <w:r>
        <w:rPr>
          <w:rFonts w:hAnsi="Arial"/>
          <w:color w:val="000000" w:themeColor="text1"/>
          <w:sz w:val="24"/>
          <w14:textFill>
            <w14:solidFill>
              <w14:schemeClr w14:val="tx1"/>
            </w14:solidFill>
          </w14:textFill>
        </w:rPr>
        <w:t>纯度）</w:t>
      </w:r>
      <w:r>
        <w:rPr>
          <w:color w:val="000000" w:themeColor="text1"/>
          <w:sz w:val="24"/>
          <w14:textFill>
            <w14:solidFill>
              <w14:schemeClr w14:val="tx1"/>
            </w14:solidFill>
          </w14:textFill>
        </w:rPr>
        <w:t>N</w:t>
      </w:r>
      <w:r>
        <w:rPr>
          <w:color w:val="000000" w:themeColor="text1"/>
          <w:sz w:val="24"/>
          <w:vertAlign w:val="subscript"/>
          <w14:textFill>
            <w14:solidFill>
              <w14:schemeClr w14:val="tx1"/>
            </w14:solidFill>
          </w14:textFill>
        </w:rPr>
        <w:t>2</w:t>
      </w:r>
      <w:r>
        <w:rPr>
          <w:rFonts w:hAnsi="Arial"/>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碰撞气</w:t>
      </w:r>
      <w:r>
        <w:rPr>
          <w:rFonts w:hAnsi="Arial"/>
          <w:color w:val="000000" w:themeColor="text1"/>
          <w:sz w:val="24"/>
          <w14:textFill>
            <w14:solidFill>
              <w14:schemeClr w14:val="tx1"/>
            </w14:solidFill>
          </w14:textFill>
        </w:rPr>
        <w:t>：超高纯</w:t>
      </w:r>
      <w:r>
        <w:rPr>
          <w:color w:val="EE0000"/>
          <w:sz w:val="24"/>
        </w:rPr>
        <w:t>Ar</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N</w:t>
      </w:r>
      <w:r>
        <w:rPr>
          <w:color w:val="000000" w:themeColor="text1"/>
          <w:sz w:val="24"/>
          <w:vertAlign w:val="subscript"/>
          <w14:textFill>
            <w14:solidFill>
              <w14:schemeClr w14:val="tx1"/>
            </w14:solidFill>
          </w14:textFill>
        </w:rPr>
        <w:t>2</w:t>
      </w:r>
      <w:r>
        <w:rPr>
          <w:rFonts w:hAnsi="Arial"/>
          <w:color w:val="000000" w:themeColor="text1"/>
          <w:sz w:val="24"/>
          <w14:textFill>
            <w14:solidFill>
              <w14:schemeClr w14:val="tx1"/>
            </w14:solidFill>
          </w14:textFill>
        </w:rPr>
        <w:t>（</w:t>
      </w:r>
      <w:r>
        <w:rPr>
          <w:color w:val="000000" w:themeColor="text1"/>
          <w:sz w:val="24"/>
          <w14:textFill>
            <w14:solidFill>
              <w14:schemeClr w14:val="tx1"/>
            </w14:solidFill>
          </w14:textFill>
        </w:rPr>
        <w:t>99.999%</w:t>
      </w:r>
      <w:r>
        <w:rPr>
          <w:rFonts w:hAnsi="Arial"/>
          <w:color w:val="000000" w:themeColor="text1"/>
          <w:sz w:val="24"/>
          <w14:textFill>
            <w14:solidFill>
              <w14:schemeClr w14:val="tx1"/>
            </w14:solidFill>
          </w14:textFill>
        </w:rPr>
        <w:t>）</w:t>
      </w:r>
      <w:r>
        <w:rPr>
          <w:rFonts w:hint="eastAsia" w:hAnsi="Arial"/>
          <w:color w:val="000000" w:themeColor="text1"/>
          <w:sz w:val="24"/>
          <w14:textFill>
            <w14:solidFill>
              <w14:schemeClr w14:val="tx1"/>
            </w14:solidFill>
          </w14:textFill>
        </w:rPr>
        <w:t>，源区无需额外空气压缩机。</w:t>
      </w:r>
    </w:p>
    <w:p w14:paraId="3484579B">
      <w:pPr>
        <w:pStyle w:val="4"/>
        <w:numPr>
          <w:ilvl w:val="0"/>
          <w:numId w:val="2"/>
        </w:numPr>
      </w:pPr>
      <w:r>
        <w:rPr>
          <w:rFonts w:hint="eastAsia"/>
        </w:rPr>
        <w:t>质谱部分性能要求</w:t>
      </w:r>
    </w:p>
    <w:p w14:paraId="7FE83867">
      <w:pPr>
        <w:numPr>
          <w:ilvl w:val="0"/>
          <w:numId w:val="3"/>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H</w:t>
      </w:r>
      <w:r>
        <w:rPr>
          <w:color w:val="000000" w:themeColor="text1"/>
          <w:sz w:val="24"/>
          <w14:textFill>
            <w14:solidFill>
              <w14:schemeClr w14:val="tx1"/>
            </w14:solidFill>
          </w14:textFill>
        </w:rPr>
        <w:t>ESI与APCI切换只需更换</w:t>
      </w:r>
      <w:r>
        <w:rPr>
          <w:rFonts w:hint="eastAsia"/>
          <w:color w:val="000000" w:themeColor="text1"/>
          <w:sz w:val="24"/>
          <w14:textFill>
            <w14:solidFill>
              <w14:schemeClr w14:val="tx1"/>
            </w14:solidFill>
          </w14:textFill>
        </w:rPr>
        <w:t>探针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且电晕针具备旋钮式在线调节功能，</w:t>
      </w:r>
      <w:r>
        <w:rPr>
          <w:color w:val="000000" w:themeColor="text1"/>
          <w:sz w:val="24"/>
          <w14:textFill>
            <w14:solidFill>
              <w14:schemeClr w14:val="tx1"/>
            </w14:solidFill>
          </w14:textFill>
        </w:rPr>
        <w:t>快速简便，切换时间小于</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min，且整个过程无需拆卸离子源；</w:t>
      </w:r>
    </w:p>
    <w:p w14:paraId="640017E9">
      <w:pPr>
        <w:numPr>
          <w:ilvl w:val="0"/>
          <w:numId w:val="3"/>
        </w:numPr>
        <w:spacing w:line="360" w:lineRule="auto"/>
        <w:rPr>
          <w:rFonts w:hint="eastAsia" w:hAnsi="Arial"/>
          <w:color w:val="000000" w:themeColor="text1"/>
          <w:sz w:val="24"/>
          <w14:textFill>
            <w14:solidFill>
              <w14:schemeClr w14:val="tx1"/>
            </w14:solidFill>
          </w14:textFill>
        </w:rPr>
      </w:pPr>
      <w:r>
        <w:rPr>
          <w:rFonts w:hAnsi="Arial"/>
          <w:color w:val="000000" w:themeColor="text1"/>
          <w:sz w:val="24"/>
          <w14:textFill>
            <w14:solidFill>
              <w14:schemeClr w14:val="tx1"/>
            </w14:solidFill>
          </w14:textFill>
        </w:rPr>
        <w:t>具有真空隔断阀设计，</w:t>
      </w:r>
      <w:r>
        <w:rPr>
          <w:rFonts w:hint="eastAsia" w:hAnsi="Arial"/>
          <w:color w:val="000000" w:themeColor="text1"/>
          <w:sz w:val="24"/>
          <w14:textFill>
            <w14:solidFill>
              <w14:schemeClr w14:val="tx1"/>
            </w14:solidFill>
          </w14:textFill>
        </w:rPr>
        <w:t>便于</w:t>
      </w:r>
      <w:r>
        <w:rPr>
          <w:rStyle w:val="13"/>
          <w:rFonts w:hAnsi="Arial"/>
          <w:color w:val="000000" w:themeColor="text1"/>
          <w:sz w:val="24"/>
          <w:shd w:val="clear" w:color="auto" w:fill="FFFFFF"/>
          <w14:textFill>
            <w14:solidFill>
              <w14:schemeClr w14:val="tx1"/>
            </w14:solidFill>
          </w14:textFill>
        </w:rPr>
        <w:t>待机</w:t>
      </w:r>
      <w:r>
        <w:rPr>
          <w:rStyle w:val="13"/>
          <w:rFonts w:hint="eastAsia" w:hAnsi="Arial"/>
          <w:color w:val="000000" w:themeColor="text1"/>
          <w:sz w:val="24"/>
          <w:shd w:val="clear" w:color="auto" w:fill="FFFFFF"/>
          <w14:textFill>
            <w14:solidFill>
              <w14:schemeClr w14:val="tx1"/>
            </w14:solidFill>
          </w14:textFill>
        </w:rPr>
        <w:t>或维护</w:t>
      </w:r>
      <w:r>
        <w:rPr>
          <w:rStyle w:val="13"/>
          <w:rFonts w:hAnsi="Arial"/>
          <w:color w:val="000000" w:themeColor="text1"/>
          <w:sz w:val="24"/>
          <w:shd w:val="clear" w:color="auto" w:fill="FFFFFF"/>
          <w14:textFill>
            <w14:solidFill>
              <w14:schemeClr w14:val="tx1"/>
            </w14:solidFill>
          </w14:textFill>
        </w:rPr>
        <w:t>时不需要消耗氮气</w:t>
      </w:r>
      <w:r>
        <w:rPr>
          <w:rStyle w:val="13"/>
          <w:rFonts w:hint="eastAsia" w:hAnsi="Arial"/>
          <w:color w:val="000000" w:themeColor="text1"/>
          <w:sz w:val="24"/>
          <w:shd w:val="clear" w:color="auto" w:fill="FFFFFF"/>
          <w14:textFill>
            <w14:solidFill>
              <w14:schemeClr w14:val="tx1"/>
            </w14:solidFill>
          </w14:textFill>
        </w:rPr>
        <w:t>，避免真空损伤</w:t>
      </w:r>
      <w:r>
        <w:rPr>
          <w:rStyle w:val="13"/>
          <w:rFonts w:hAnsi="Arial"/>
          <w:color w:val="000000" w:themeColor="text1"/>
          <w:sz w:val="24"/>
          <w:shd w:val="clear" w:color="auto" w:fill="FFFFFF"/>
          <w14:textFill>
            <w14:solidFill>
              <w14:schemeClr w14:val="tx1"/>
            </w14:solidFill>
          </w14:textFill>
        </w:rPr>
        <w:t>；</w:t>
      </w:r>
    </w:p>
    <w:p w14:paraId="14877392">
      <w:pPr>
        <w:numPr>
          <w:ilvl w:val="0"/>
          <w:numId w:val="3"/>
        </w:numPr>
        <w:spacing w:line="360" w:lineRule="auto"/>
        <w:rPr>
          <w:rFonts w:hAnsi="Arial"/>
          <w:sz w:val="24"/>
        </w:rPr>
      </w:pPr>
      <w:r>
        <w:rPr>
          <w:rFonts w:hint="eastAsia"/>
          <w:sz w:val="24"/>
        </w:rPr>
        <w:t>具有较宽的</w:t>
      </w:r>
      <w:r>
        <w:rPr>
          <w:sz w:val="24"/>
        </w:rPr>
        <w:t>质量数范围：</w:t>
      </w:r>
      <w:r>
        <w:rPr>
          <w:rFonts w:hint="eastAsia"/>
          <w:sz w:val="24"/>
        </w:rPr>
        <w:t>50 --1200Da</w:t>
      </w:r>
      <w:r>
        <w:rPr>
          <w:rStyle w:val="13"/>
          <w:rFonts w:hAnsi="Arial"/>
          <w:sz w:val="24"/>
          <w:shd w:val="clear" w:color="auto" w:fill="FFFFFF"/>
        </w:rPr>
        <w:t>，</w:t>
      </w:r>
      <w:r>
        <w:rPr>
          <w:rStyle w:val="13"/>
          <w:sz w:val="24"/>
          <w:shd w:val="clear" w:color="auto" w:fill="FFFFFF"/>
        </w:rPr>
        <w:t>Q1</w:t>
      </w:r>
      <w:r>
        <w:rPr>
          <w:rStyle w:val="13"/>
          <w:rFonts w:hAnsi="Arial"/>
          <w:sz w:val="24"/>
          <w:shd w:val="clear" w:color="auto" w:fill="FFFFFF"/>
        </w:rPr>
        <w:t>和</w:t>
      </w:r>
      <w:r>
        <w:rPr>
          <w:rStyle w:val="13"/>
          <w:sz w:val="24"/>
          <w:shd w:val="clear" w:color="auto" w:fill="FFFFFF"/>
        </w:rPr>
        <w:t>Q3</w:t>
      </w:r>
      <w:r>
        <w:rPr>
          <w:rStyle w:val="13"/>
          <w:rFonts w:hAnsi="Arial"/>
          <w:sz w:val="24"/>
          <w:shd w:val="clear" w:color="auto" w:fill="FFFFFF"/>
        </w:rPr>
        <w:t>均</w:t>
      </w:r>
      <w:r>
        <w:rPr>
          <w:rStyle w:val="13"/>
          <w:sz w:val="24"/>
          <w:shd w:val="clear" w:color="auto" w:fill="FFFFFF"/>
        </w:rPr>
        <w:t>可以达到</w:t>
      </w:r>
      <w:r>
        <w:rPr>
          <w:rFonts w:hAnsi="Arial"/>
          <w:sz w:val="24"/>
        </w:rPr>
        <w:t>；</w:t>
      </w:r>
    </w:p>
    <w:p w14:paraId="6CC2637F">
      <w:pPr>
        <w:numPr>
          <w:ilvl w:val="0"/>
          <w:numId w:val="3"/>
        </w:numPr>
        <w:spacing w:line="360" w:lineRule="auto"/>
        <w:rPr>
          <w:sz w:val="24"/>
        </w:rPr>
      </w:pPr>
      <w:r>
        <w:rPr>
          <w:rFonts w:hint="eastAsia" w:ascii="Calibri" w:hAnsi="Calibri"/>
          <w:sz w:val="24"/>
        </w:rPr>
        <w:t>采用</w:t>
      </w:r>
      <w:r>
        <w:rPr>
          <w:rFonts w:hint="eastAsia"/>
          <w:sz w:val="24"/>
        </w:rPr>
        <w:t>1ppb</w:t>
      </w:r>
      <w:r>
        <w:rPr>
          <w:sz w:val="24"/>
        </w:rPr>
        <w:t>去甲基地西泮</w:t>
      </w:r>
      <w:r>
        <w:rPr>
          <w:rFonts w:hint="eastAsia" w:ascii="Calibri" w:hAnsi="Calibri"/>
          <w:sz w:val="24"/>
        </w:rPr>
        <w:t>作为标准物质，要</w:t>
      </w:r>
      <w:r>
        <w:rPr>
          <w:rFonts w:hint="eastAsia"/>
          <w:sz w:val="24"/>
        </w:rPr>
        <w:t>求</w:t>
      </w:r>
      <w:r>
        <w:rPr>
          <w:rFonts w:hint="eastAsia" w:ascii="Calibri" w:hAnsi="Calibri"/>
          <w:sz w:val="24"/>
        </w:rPr>
        <w:t>出示</w:t>
      </w:r>
      <w:r>
        <w:rPr>
          <w:rFonts w:hint="eastAsia"/>
          <w:sz w:val="24"/>
        </w:rPr>
        <w:t>1ppb</w:t>
      </w:r>
      <w:r>
        <w:rPr>
          <w:sz w:val="24"/>
        </w:rPr>
        <w:t>去甲基地西泮</w:t>
      </w:r>
      <w:r>
        <w:rPr>
          <w:rFonts w:hint="eastAsia" w:ascii="Calibri" w:hAnsi="Calibri"/>
          <w:sz w:val="24"/>
        </w:rPr>
        <w:t>在10、20、50、100、500SRMs/</w:t>
      </w:r>
      <w:r>
        <w:rPr>
          <w:rFonts w:hint="eastAsia"/>
          <w:sz w:val="24"/>
        </w:rPr>
        <w:t>s</w:t>
      </w:r>
      <w:r>
        <w:rPr>
          <w:rFonts w:hint="eastAsia" w:ascii="Calibri" w:hAnsi="Calibri"/>
          <w:sz w:val="24"/>
        </w:rPr>
        <w:t>时对应的响应峰面积的图谱，要求5个采集速率的峰面积数据的偏差≤10%，</w:t>
      </w:r>
      <w:r>
        <w:rPr>
          <w:rFonts w:hint="eastAsia"/>
          <w:sz w:val="24"/>
        </w:rPr>
        <w:t>提供数据证明</w:t>
      </w:r>
      <w:r>
        <w:rPr>
          <w:rFonts w:hint="eastAsia" w:ascii="Calibri" w:hAnsi="Calibri"/>
          <w:sz w:val="24"/>
        </w:rPr>
        <w:t>，以佐证仪器在处理多残留监测</w:t>
      </w:r>
      <w:r>
        <w:rPr>
          <w:rFonts w:hint="eastAsia"/>
          <w:sz w:val="24"/>
        </w:rPr>
        <w:t>时，</w:t>
      </w:r>
      <w:r>
        <w:rPr>
          <w:rFonts w:hint="eastAsia" w:ascii="Calibri" w:hAnsi="Calibri"/>
          <w:sz w:val="24"/>
        </w:rPr>
        <w:t>仪器灵敏度不损失的先进性；</w:t>
      </w:r>
    </w:p>
    <w:p w14:paraId="6641E817">
      <w:pPr>
        <w:numPr>
          <w:ilvl w:val="0"/>
          <w:numId w:val="3"/>
        </w:numPr>
        <w:spacing w:line="360" w:lineRule="auto"/>
        <w:rPr>
          <w:sz w:val="24"/>
        </w:rPr>
      </w:pPr>
      <w:r>
        <w:rPr>
          <w:sz w:val="24"/>
        </w:rPr>
        <w:t>MS/MS</w:t>
      </w:r>
      <w:r>
        <w:rPr>
          <w:rFonts w:hint="eastAsia" w:hAnsi="Arial"/>
          <w:sz w:val="24"/>
        </w:rPr>
        <w:t>灵敏度</w:t>
      </w:r>
    </w:p>
    <w:p w14:paraId="0D70F696">
      <w:pPr>
        <w:spacing w:line="360" w:lineRule="auto"/>
        <w:rPr>
          <w:sz w:val="24"/>
        </w:rPr>
      </w:pPr>
      <w:r>
        <w:rPr>
          <w:sz w:val="24"/>
        </w:rPr>
        <w:t>ESI+</w:t>
      </w:r>
      <w:r>
        <w:rPr>
          <w:rFonts w:hint="eastAsia"/>
          <w:sz w:val="24"/>
        </w:rPr>
        <w:t>：</w:t>
      </w:r>
      <w:r>
        <w:rPr>
          <w:sz w:val="24"/>
        </w:rPr>
        <w:t>1pg</w:t>
      </w:r>
      <w:r>
        <w:rPr>
          <w:rFonts w:hint="eastAsia" w:hAnsi="Arial"/>
          <w:sz w:val="24"/>
        </w:rPr>
        <w:t>利血平，</w:t>
      </w:r>
      <w:r>
        <w:rPr>
          <w:sz w:val="24"/>
          <w:lang w:val="de-DE"/>
        </w:rPr>
        <w:t>m/z609&gt;195</w:t>
      </w:r>
      <w:r>
        <w:rPr>
          <w:rFonts w:hint="eastAsia" w:hAnsi="Arial"/>
          <w:sz w:val="24"/>
          <w:lang w:val="de-DE"/>
        </w:rPr>
        <w:t>，</w:t>
      </w:r>
      <w:r>
        <w:rPr>
          <w:rFonts w:hint="eastAsia" w:hAnsi="Arial"/>
          <w:sz w:val="24"/>
        </w:rPr>
        <w:t>信噪比</w:t>
      </w:r>
      <w:r>
        <w:rPr>
          <w:rFonts w:hint="eastAsia"/>
          <w:sz w:val="24"/>
        </w:rPr>
        <w:t>≥</w:t>
      </w:r>
      <w:r>
        <w:rPr>
          <w:sz w:val="24"/>
        </w:rPr>
        <w:t>80,000</w:t>
      </w:r>
      <w:r>
        <w:rPr>
          <w:rFonts w:hint="eastAsia" w:hAnsi="Arial"/>
          <w:sz w:val="24"/>
        </w:rPr>
        <w:t>：</w:t>
      </w:r>
      <w:r>
        <w:rPr>
          <w:sz w:val="24"/>
        </w:rPr>
        <w:t>1</w:t>
      </w:r>
      <w:r>
        <w:rPr>
          <w:rFonts w:hint="eastAsia"/>
          <w:sz w:val="24"/>
        </w:rPr>
        <w:t>，</w:t>
      </w:r>
      <w:r>
        <w:rPr>
          <w:rStyle w:val="13"/>
          <w:sz w:val="24"/>
          <w:shd w:val="clear" w:color="auto" w:fill="FFFFFF"/>
        </w:rPr>
        <w:t>RSD</w:t>
      </w:r>
      <w:r>
        <w:rPr>
          <w:rFonts w:hint="eastAsia"/>
          <w:sz w:val="24"/>
        </w:rPr>
        <w:t>≤</w:t>
      </w:r>
      <w:r>
        <w:rPr>
          <w:sz w:val="24"/>
        </w:rPr>
        <w:t>5%</w:t>
      </w:r>
    </w:p>
    <w:p w14:paraId="71296C0F">
      <w:pPr>
        <w:spacing w:line="360" w:lineRule="auto"/>
        <w:rPr>
          <w:sz w:val="24"/>
        </w:rPr>
      </w:pPr>
      <w:r>
        <w:rPr>
          <w:sz w:val="24"/>
        </w:rPr>
        <w:t>ESI-</w:t>
      </w:r>
      <w:r>
        <w:rPr>
          <w:rFonts w:hint="eastAsia"/>
          <w:sz w:val="24"/>
        </w:rPr>
        <w:t>：</w:t>
      </w:r>
      <w:r>
        <w:rPr>
          <w:sz w:val="24"/>
        </w:rPr>
        <w:t>1pg</w:t>
      </w:r>
      <w:r>
        <w:rPr>
          <w:rFonts w:hint="eastAsia" w:hAnsi="Arial"/>
          <w:sz w:val="24"/>
        </w:rPr>
        <w:t>氯霉素，</w:t>
      </w:r>
      <w:r>
        <w:rPr>
          <w:sz w:val="24"/>
          <w:lang w:val="de-DE"/>
        </w:rPr>
        <w:t>m/z321&gt;152</w:t>
      </w:r>
      <w:r>
        <w:rPr>
          <w:rFonts w:hint="eastAsia" w:hAnsi="Arial"/>
          <w:sz w:val="24"/>
          <w:lang w:val="de-DE"/>
        </w:rPr>
        <w:t>，</w:t>
      </w:r>
      <w:r>
        <w:rPr>
          <w:rFonts w:hint="eastAsia" w:hAnsi="Arial"/>
          <w:sz w:val="24"/>
        </w:rPr>
        <w:t>信噪比</w:t>
      </w:r>
      <w:r>
        <w:rPr>
          <w:rFonts w:hint="eastAsia"/>
          <w:sz w:val="24"/>
        </w:rPr>
        <w:t>≥</w:t>
      </w:r>
      <w:r>
        <w:rPr>
          <w:sz w:val="24"/>
        </w:rPr>
        <w:t>80,000</w:t>
      </w:r>
      <w:r>
        <w:rPr>
          <w:rFonts w:hint="eastAsia" w:hAnsi="Arial"/>
          <w:sz w:val="24"/>
        </w:rPr>
        <w:t>：</w:t>
      </w:r>
      <w:r>
        <w:rPr>
          <w:sz w:val="24"/>
        </w:rPr>
        <w:t>1</w:t>
      </w:r>
      <w:r>
        <w:rPr>
          <w:rFonts w:hint="eastAsia"/>
          <w:sz w:val="24"/>
        </w:rPr>
        <w:t>，</w:t>
      </w:r>
      <w:r>
        <w:rPr>
          <w:rStyle w:val="13"/>
          <w:sz w:val="24"/>
          <w:shd w:val="clear" w:color="auto" w:fill="FFFFFF"/>
        </w:rPr>
        <w:t>RSD</w:t>
      </w:r>
      <w:r>
        <w:rPr>
          <w:rFonts w:hint="eastAsia"/>
          <w:sz w:val="24"/>
        </w:rPr>
        <w:t>≤</w:t>
      </w:r>
      <w:r>
        <w:rPr>
          <w:sz w:val="24"/>
        </w:rPr>
        <w:t>5%</w:t>
      </w:r>
    </w:p>
    <w:p w14:paraId="267B4827">
      <w:pPr>
        <w:spacing w:line="360" w:lineRule="auto"/>
        <w:rPr>
          <w:sz w:val="24"/>
        </w:rPr>
      </w:pPr>
      <w:r>
        <w:rPr>
          <w:sz w:val="24"/>
        </w:rPr>
        <w:t>APCI</w:t>
      </w:r>
      <w:r>
        <w:rPr>
          <w:rFonts w:hint="eastAsia"/>
          <w:sz w:val="24"/>
        </w:rPr>
        <w:t>：</w:t>
      </w:r>
      <w:r>
        <w:rPr>
          <w:sz w:val="24"/>
        </w:rPr>
        <w:t>1pg</w:t>
      </w:r>
      <w:r>
        <w:rPr>
          <w:rFonts w:hint="eastAsia" w:hAnsi="Arial"/>
          <w:sz w:val="24"/>
        </w:rPr>
        <w:t>利血平，</w:t>
      </w:r>
      <w:r>
        <w:rPr>
          <w:sz w:val="24"/>
          <w:lang w:val="de-DE"/>
        </w:rPr>
        <w:t>m/z609&gt;195</w:t>
      </w:r>
      <w:r>
        <w:rPr>
          <w:rFonts w:hint="eastAsia" w:hAnsi="Arial"/>
          <w:sz w:val="24"/>
          <w:lang w:val="de-DE"/>
        </w:rPr>
        <w:t>，</w:t>
      </w:r>
      <w:r>
        <w:rPr>
          <w:rFonts w:hint="eastAsia" w:hAnsi="Arial"/>
          <w:sz w:val="24"/>
        </w:rPr>
        <w:t>信噪比</w:t>
      </w:r>
      <w:r>
        <w:rPr>
          <w:rFonts w:hint="eastAsia"/>
          <w:sz w:val="24"/>
        </w:rPr>
        <w:t>≥</w:t>
      </w:r>
      <w:r>
        <w:rPr>
          <w:sz w:val="24"/>
        </w:rPr>
        <w:t>25,000</w:t>
      </w:r>
      <w:r>
        <w:rPr>
          <w:rFonts w:hint="eastAsia" w:hAnsi="Arial"/>
          <w:sz w:val="24"/>
        </w:rPr>
        <w:t>：</w:t>
      </w:r>
      <w:r>
        <w:rPr>
          <w:rFonts w:hAnsi="Arial"/>
          <w:sz w:val="24"/>
        </w:rPr>
        <w:t>1</w:t>
      </w:r>
      <w:r>
        <w:rPr>
          <w:rFonts w:hint="eastAsia" w:hAnsi="Arial"/>
          <w:sz w:val="24"/>
        </w:rPr>
        <w:t>，</w:t>
      </w:r>
      <w:r>
        <w:rPr>
          <w:rStyle w:val="13"/>
          <w:sz w:val="24"/>
          <w:shd w:val="clear" w:color="auto" w:fill="FFFFFF"/>
        </w:rPr>
        <w:t>RSD</w:t>
      </w:r>
      <w:r>
        <w:rPr>
          <w:rFonts w:hint="eastAsia"/>
          <w:sz w:val="24"/>
        </w:rPr>
        <w:t>≤</w:t>
      </w:r>
      <w:r>
        <w:rPr>
          <w:sz w:val="24"/>
        </w:rPr>
        <w:t>5%</w:t>
      </w:r>
    </w:p>
    <w:p w14:paraId="10AF6036">
      <w:pPr>
        <w:pStyle w:val="4"/>
        <w:numPr>
          <w:ilvl w:val="0"/>
          <w:numId w:val="2"/>
        </w:numPr>
      </w:pPr>
      <w:r>
        <w:rPr>
          <w:rFonts w:hint="eastAsia"/>
          <w:color w:val="000000" w:themeColor="text1"/>
          <w:sz w:val="24"/>
          <w14:textFill>
            <w14:solidFill>
              <w14:schemeClr w14:val="tx1"/>
            </w14:solidFill>
          </w14:textFill>
        </w:rPr>
        <w:t>高效液相色谱部分性能需求</w:t>
      </w:r>
    </w:p>
    <w:p w14:paraId="4E45CA50">
      <w:pPr>
        <w:numPr>
          <w:ilvl w:val="0"/>
          <w:numId w:val="4"/>
        </w:numPr>
        <w:spacing w:line="360" w:lineRule="auto"/>
        <w:rPr>
          <w:rFonts w:hAnsi="Arial"/>
          <w:sz w:val="24"/>
        </w:rPr>
      </w:pPr>
      <w:r>
        <w:rPr>
          <w:rFonts w:hint="eastAsia" w:hAnsi="Arial"/>
          <w:sz w:val="24"/>
        </w:rPr>
        <w:t>压力范围：最高到</w:t>
      </w:r>
      <w:r>
        <w:rPr>
          <w:rFonts w:hAnsi="Arial"/>
          <w:sz w:val="24"/>
        </w:rPr>
        <w:t xml:space="preserve">15,000 </w:t>
      </w:r>
      <w:r>
        <w:rPr>
          <w:rFonts w:hint="eastAsia" w:hAnsi="Arial"/>
          <w:sz w:val="24"/>
        </w:rPr>
        <w:t>psi；</w:t>
      </w:r>
    </w:p>
    <w:p w14:paraId="217ABA3A">
      <w:pPr>
        <w:numPr>
          <w:ilvl w:val="0"/>
          <w:numId w:val="4"/>
        </w:numPr>
        <w:spacing w:line="360" w:lineRule="auto"/>
        <w:rPr>
          <w:rFonts w:hAnsi="Arial"/>
          <w:sz w:val="24"/>
        </w:rPr>
      </w:pPr>
      <w:r>
        <w:rPr>
          <w:rFonts w:hint="eastAsia" w:hAnsi="Arial"/>
          <w:sz w:val="24"/>
        </w:rPr>
        <w:t>流速范围：0.01~ 5mL/min，步进0.01 mL/min；</w:t>
      </w:r>
    </w:p>
    <w:p w14:paraId="238BE943">
      <w:pPr>
        <w:numPr>
          <w:ilvl w:val="0"/>
          <w:numId w:val="4"/>
        </w:numPr>
        <w:spacing w:line="360" w:lineRule="auto"/>
        <w:rPr>
          <w:rFonts w:hAnsi="Arial"/>
          <w:sz w:val="24"/>
        </w:rPr>
      </w:pPr>
      <w:r>
        <w:rPr>
          <w:rFonts w:hint="eastAsia" w:hAnsi="Arial"/>
          <w:sz w:val="24"/>
        </w:rPr>
        <w:t>柱容量：最多2根色谱柱，最长可安装30cm色谱柱。</w:t>
      </w:r>
    </w:p>
    <w:p w14:paraId="734BB82B">
      <w:pPr>
        <w:pStyle w:val="4"/>
        <w:numPr>
          <w:ilvl w:val="0"/>
          <w:numId w:val="2"/>
        </w:numPr>
      </w:pPr>
      <w:r>
        <w:rPr>
          <w:rFonts w:hint="eastAsia"/>
        </w:rPr>
        <w:t>检测试剂需求</w:t>
      </w:r>
    </w:p>
    <w:p w14:paraId="7DCFF4B0">
      <w:pPr>
        <w:numPr>
          <w:ilvl w:val="0"/>
          <w:numId w:val="5"/>
        </w:numPr>
        <w:spacing w:line="360" w:lineRule="auto"/>
        <w:rPr>
          <w:rFonts w:hAnsi="Arial"/>
          <w:sz w:val="24"/>
        </w:rPr>
      </w:pPr>
      <w:r>
        <w:rPr>
          <w:rFonts w:hint="eastAsia" w:hAnsi="Arial"/>
          <w:sz w:val="24"/>
        </w:rPr>
        <w:t>该设备供应商或厂家需同时具备生产注册销售该质谱系统及其配套二类试剂盒的能力，便于进行适配性匹配；</w:t>
      </w:r>
    </w:p>
    <w:p w14:paraId="75F2A9B6">
      <w:pPr>
        <w:numPr>
          <w:ilvl w:val="0"/>
          <w:numId w:val="5"/>
        </w:numPr>
        <w:spacing w:line="360" w:lineRule="auto"/>
        <w:rPr>
          <w:rFonts w:hAnsi="Arial"/>
          <w:sz w:val="24"/>
        </w:rPr>
      </w:pPr>
      <w:r>
        <w:rPr>
          <w:rFonts w:hint="eastAsia" w:hAnsi="Arial"/>
          <w:sz w:val="24"/>
        </w:rPr>
        <w:t>试剂盒组成的检测系统能提供相关的溯源性证明文件。</w:t>
      </w:r>
    </w:p>
    <w:p w14:paraId="0D7679C3">
      <w:pPr>
        <w:numPr>
          <w:ilvl w:val="0"/>
          <w:numId w:val="5"/>
        </w:numPr>
        <w:spacing w:line="360" w:lineRule="auto"/>
        <w:rPr>
          <w:rFonts w:hAnsi="Arial"/>
          <w:sz w:val="24"/>
        </w:rPr>
      </w:pPr>
      <w:r>
        <w:rPr>
          <w:rFonts w:hint="eastAsia" w:hAnsi="Arial"/>
          <w:sz w:val="24"/>
        </w:rPr>
        <w:t>品牌厂家需至少通过20项指标及以上的国家卫健委临检中心的室间质评，并提供印证材料；</w:t>
      </w:r>
    </w:p>
    <w:p w14:paraId="6643089C">
      <w:pPr>
        <w:numPr>
          <w:ilvl w:val="0"/>
          <w:numId w:val="5"/>
        </w:numPr>
        <w:spacing w:line="360" w:lineRule="auto"/>
        <w:rPr>
          <w:sz w:val="24"/>
        </w:rPr>
      </w:pPr>
      <w:r>
        <w:rPr>
          <w:rFonts w:hint="eastAsia" w:hAnsi="Arial"/>
          <w:sz w:val="24"/>
        </w:rPr>
        <w:t>便利性和测量结果准确性保证：厂家试剂盒须是完整的方法包，至少包括流动相（不可包含流动相调节剂或添加剂）、校准品、质控品、内标液等；</w:t>
      </w:r>
    </w:p>
    <w:p w14:paraId="4D075287">
      <w:pPr>
        <w:numPr>
          <w:numId w:val="0"/>
        </w:numPr>
        <w:spacing w:line="360" w:lineRule="auto"/>
        <w:rPr>
          <w:rFonts w:hint="default" w:eastAsiaTheme="minorEastAsia"/>
          <w:sz w:val="24"/>
          <w:lang w:val="en-US" w:eastAsia="zh-CN"/>
        </w:rPr>
      </w:pPr>
      <w:r>
        <w:rPr>
          <w:rFonts w:hint="eastAsia" w:hAnsi="Arial"/>
          <w:sz w:val="24"/>
          <w:lang w:val="en-US" w:eastAsia="zh-CN"/>
        </w:rPr>
        <w:t>质保期三年</w:t>
      </w:r>
      <w:bookmarkStart w:id="0" w:name="_GoBack"/>
      <w:bookmarkEnd w:id="0"/>
    </w:p>
    <w:p w14:paraId="5BD88BA8">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E23BC"/>
    <w:multiLevelType w:val="singleLevel"/>
    <w:tmpl w:val="8E5E23BC"/>
    <w:lvl w:ilvl="0" w:tentative="0">
      <w:start w:val="2"/>
      <w:numFmt w:val="chineseCounting"/>
      <w:suff w:val="nothing"/>
      <w:lvlText w:val="%1、"/>
      <w:lvlJc w:val="left"/>
      <w:rPr>
        <w:rFonts w:hint="eastAsia"/>
      </w:rPr>
    </w:lvl>
  </w:abstractNum>
  <w:abstractNum w:abstractNumId="1">
    <w:nsid w:val="BF3AB3BA"/>
    <w:multiLevelType w:val="singleLevel"/>
    <w:tmpl w:val="BF3AB3BA"/>
    <w:lvl w:ilvl="0" w:tentative="0">
      <w:start w:val="1"/>
      <w:numFmt w:val="decimal"/>
      <w:suff w:val="nothing"/>
      <w:lvlText w:val="%1、"/>
      <w:lvlJc w:val="left"/>
    </w:lvl>
  </w:abstractNum>
  <w:abstractNum w:abstractNumId="2">
    <w:nsid w:val="C0ED6D11"/>
    <w:multiLevelType w:val="singleLevel"/>
    <w:tmpl w:val="C0ED6D11"/>
    <w:lvl w:ilvl="0" w:tentative="0">
      <w:start w:val="1"/>
      <w:numFmt w:val="decimal"/>
      <w:suff w:val="nothing"/>
      <w:lvlText w:val="%1、"/>
      <w:lvlJc w:val="left"/>
    </w:lvl>
  </w:abstractNum>
  <w:abstractNum w:abstractNumId="3">
    <w:nsid w:val="D8CB31DF"/>
    <w:multiLevelType w:val="singleLevel"/>
    <w:tmpl w:val="D8CB31DF"/>
    <w:lvl w:ilvl="0" w:tentative="0">
      <w:start w:val="1"/>
      <w:numFmt w:val="decimal"/>
      <w:suff w:val="nothing"/>
      <w:lvlText w:val="%1、"/>
      <w:lvlJc w:val="left"/>
    </w:lvl>
  </w:abstractNum>
  <w:abstractNum w:abstractNumId="4">
    <w:nsid w:val="0FB69403"/>
    <w:multiLevelType w:val="singleLevel"/>
    <w:tmpl w:val="0FB69403"/>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9004A6"/>
    <w:rsid w:val="00022798"/>
    <w:rsid w:val="0007660B"/>
    <w:rsid w:val="000F4D66"/>
    <w:rsid w:val="00135B82"/>
    <w:rsid w:val="0023339C"/>
    <w:rsid w:val="002628AA"/>
    <w:rsid w:val="0038137D"/>
    <w:rsid w:val="00481A0F"/>
    <w:rsid w:val="005167A4"/>
    <w:rsid w:val="00545C56"/>
    <w:rsid w:val="00636403"/>
    <w:rsid w:val="00640124"/>
    <w:rsid w:val="00715D5A"/>
    <w:rsid w:val="00732C52"/>
    <w:rsid w:val="007A25E7"/>
    <w:rsid w:val="00873FB2"/>
    <w:rsid w:val="008E3621"/>
    <w:rsid w:val="0095560A"/>
    <w:rsid w:val="009B77D1"/>
    <w:rsid w:val="00A21DE9"/>
    <w:rsid w:val="00A715A2"/>
    <w:rsid w:val="00A74A7E"/>
    <w:rsid w:val="00AB00E5"/>
    <w:rsid w:val="00C82D19"/>
    <w:rsid w:val="00D438B6"/>
    <w:rsid w:val="00E06723"/>
    <w:rsid w:val="00EA3427"/>
    <w:rsid w:val="00F11281"/>
    <w:rsid w:val="00F313DC"/>
    <w:rsid w:val="00F366C9"/>
    <w:rsid w:val="00FC0D35"/>
    <w:rsid w:val="073129DB"/>
    <w:rsid w:val="3A900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4"/>
    <w:uiPriority w:val="0"/>
    <w:pPr>
      <w:jc w:val="left"/>
    </w:pPr>
  </w:style>
  <w:style w:type="paragraph" w:styleId="6">
    <w:name w:val="Balloon Text"/>
    <w:basedOn w:val="1"/>
    <w:link w:val="16"/>
    <w:uiPriority w:val="0"/>
    <w:rPr>
      <w:sz w:val="18"/>
      <w:szCs w:val="18"/>
    </w:r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18"/>
    <w:uiPriority w:val="0"/>
    <w:pPr>
      <w:tabs>
        <w:tab w:val="center" w:pos="4153"/>
        <w:tab w:val="right" w:pos="8306"/>
      </w:tabs>
      <w:snapToGrid w:val="0"/>
      <w:jc w:val="center"/>
    </w:pPr>
    <w:rPr>
      <w:sz w:val="18"/>
      <w:szCs w:val="18"/>
    </w:rPr>
  </w:style>
  <w:style w:type="paragraph" w:styleId="9">
    <w:name w:val="annotation subject"/>
    <w:basedOn w:val="5"/>
    <w:next w:val="5"/>
    <w:link w:val="15"/>
    <w:uiPriority w:val="0"/>
    <w:rPr>
      <w:b/>
      <w:bCs/>
    </w:rPr>
  </w:style>
  <w:style w:type="character" w:styleId="12">
    <w:name w:val="annotation reference"/>
    <w:basedOn w:val="11"/>
    <w:uiPriority w:val="0"/>
    <w:rPr>
      <w:sz w:val="21"/>
      <w:szCs w:val="21"/>
    </w:rPr>
  </w:style>
  <w:style w:type="character" w:customStyle="1" w:styleId="13">
    <w:name w:val="apple-style-span"/>
    <w:basedOn w:val="11"/>
    <w:qFormat/>
    <w:uiPriority w:val="0"/>
  </w:style>
  <w:style w:type="character" w:customStyle="1" w:styleId="14">
    <w:name w:val="批注文字 字符"/>
    <w:basedOn w:val="11"/>
    <w:link w:val="5"/>
    <w:qFormat/>
    <w:uiPriority w:val="0"/>
    <w:rPr>
      <w:kern w:val="2"/>
      <w:sz w:val="21"/>
      <w:szCs w:val="24"/>
    </w:rPr>
  </w:style>
  <w:style w:type="character" w:customStyle="1" w:styleId="15">
    <w:name w:val="批注主题 字符"/>
    <w:basedOn w:val="14"/>
    <w:link w:val="9"/>
    <w:uiPriority w:val="0"/>
    <w:rPr>
      <w:b/>
      <w:bCs/>
      <w:kern w:val="2"/>
      <w:sz w:val="21"/>
      <w:szCs w:val="24"/>
    </w:rPr>
  </w:style>
  <w:style w:type="character" w:customStyle="1" w:styleId="16">
    <w:name w:val="批注框文本 字符"/>
    <w:basedOn w:val="11"/>
    <w:link w:val="6"/>
    <w:uiPriority w:val="0"/>
    <w:rPr>
      <w:kern w:val="2"/>
      <w:sz w:val="18"/>
      <w:szCs w:val="18"/>
    </w:rPr>
  </w:style>
  <w:style w:type="paragraph" w:customStyle="1" w:styleId="17">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18">
    <w:name w:val="页眉 字符"/>
    <w:basedOn w:val="11"/>
    <w:link w:val="8"/>
    <w:uiPriority w:val="0"/>
    <w:rPr>
      <w:kern w:val="2"/>
      <w:sz w:val="18"/>
      <w:szCs w:val="18"/>
    </w:rPr>
  </w:style>
  <w:style w:type="character" w:customStyle="1" w:styleId="19">
    <w:name w:val="页脚 字符"/>
    <w:basedOn w:val="11"/>
    <w:link w:val="7"/>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6F3C-B13E-4B67-BA31-2397B64E738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856</Words>
  <Characters>1010</Characters>
  <Lines>21</Lines>
  <Paragraphs>25</Paragraphs>
  <TotalTime>26</TotalTime>
  <ScaleCrop>false</ScaleCrop>
  <LinksUpToDate>false</LinksUpToDate>
  <CharactersWithSpaces>1014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2025-07-16T04:42:00Z</dcterms:created>
  <dc:creator>Lee</dc:creator>
  <cp:lastModifiedBy>李婷</cp:lastModifiedBy>
  <dcterms:modified xsi:type="dcterms:W3CDTF">2025-08-19T02:26:53Z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4D73B47A300245ED8E314137E1E9837C_11</vt:lpwstr>
  </property>
  <property fmtid="{D5CDD505-2E9C-101B-9397-08002B2CF9AE}" pid="4" name="KSOTemplateDocerSaveRecord">
    <vt:lpwstr>eyJoZGlkIjoiMzM1ZDYxYzRlNTdiOTcyN2NiMTg1ZWRmOTNlNzc3OGEiLCJ1c2VySWQiOiIzMzQ2MjY4MTAifQ==</vt:lpwstr>
  </property>
</Properties>
</file>